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E3B64" w14:textId="3B12704B" w:rsidR="00140799" w:rsidRDefault="00140799" w:rsidP="00140799">
      <w:pPr>
        <w:pStyle w:val="MDPI13authornames"/>
        <w:rPr>
          <w:bCs/>
          <w:snapToGrid w:val="0"/>
          <w:sz w:val="36"/>
          <w:lang w:val="en-CA"/>
        </w:rPr>
      </w:pPr>
      <w:r w:rsidRPr="002A6B1C">
        <w:rPr>
          <w:bCs/>
          <w:snapToGrid w:val="0"/>
          <w:sz w:val="36"/>
        </w:rPr>
        <w:t xml:space="preserve">Unveiling the Exquisite Microstructural Details in Zebrafish Brain </w:t>
      </w:r>
      <w:r>
        <w:rPr>
          <w:bCs/>
          <w:snapToGrid w:val="0"/>
          <w:sz w:val="36"/>
        </w:rPr>
        <w:t>Non-invasively using M</w:t>
      </w:r>
      <w:r w:rsidR="00272CD0">
        <w:rPr>
          <w:bCs/>
          <w:snapToGrid w:val="0"/>
          <w:sz w:val="36"/>
        </w:rPr>
        <w:t xml:space="preserve">agnetic </w:t>
      </w:r>
      <w:r>
        <w:rPr>
          <w:bCs/>
          <w:snapToGrid w:val="0"/>
          <w:sz w:val="36"/>
        </w:rPr>
        <w:t>R</w:t>
      </w:r>
      <w:r w:rsidR="00272CD0">
        <w:rPr>
          <w:bCs/>
          <w:snapToGrid w:val="0"/>
          <w:sz w:val="36"/>
        </w:rPr>
        <w:t xml:space="preserve">esonance </w:t>
      </w:r>
      <w:r>
        <w:rPr>
          <w:bCs/>
          <w:snapToGrid w:val="0"/>
          <w:sz w:val="36"/>
        </w:rPr>
        <w:t>I</w:t>
      </w:r>
      <w:r w:rsidR="00272CD0">
        <w:rPr>
          <w:bCs/>
          <w:snapToGrid w:val="0"/>
          <w:sz w:val="36"/>
        </w:rPr>
        <w:t>maging</w:t>
      </w:r>
      <w:r>
        <w:rPr>
          <w:bCs/>
          <w:snapToGrid w:val="0"/>
          <w:sz w:val="36"/>
        </w:rPr>
        <w:t xml:space="preserve"> at </w:t>
      </w:r>
      <w:r w:rsidRPr="002A6B1C">
        <w:rPr>
          <w:bCs/>
          <w:snapToGrid w:val="0"/>
          <w:sz w:val="36"/>
        </w:rPr>
        <w:t>28.2 T</w:t>
      </w:r>
    </w:p>
    <w:p w14:paraId="12091BE5" w14:textId="211FE0DD" w:rsidR="00E0206D" w:rsidRPr="00051677" w:rsidRDefault="00051677" w:rsidP="00E0206D">
      <w:pPr>
        <w:pStyle w:val="MDPI13authornames"/>
        <w:rPr>
          <w:iCs/>
          <w:vertAlign w:val="superscript"/>
          <w:lang w:val="en-CA"/>
        </w:rPr>
      </w:pPr>
      <w:r w:rsidRPr="00BF58EC">
        <w:rPr>
          <w:iCs/>
          <w:lang w:val="en-CA"/>
        </w:rPr>
        <w:t>Rico Singer</w:t>
      </w:r>
      <w:r w:rsidRPr="00BF58EC">
        <w:rPr>
          <w:iCs/>
          <w:vertAlign w:val="superscript"/>
          <w:lang w:val="en-CA"/>
        </w:rPr>
        <w:t>1</w:t>
      </w:r>
      <w:r w:rsidRPr="00BF58EC">
        <w:rPr>
          <w:iCs/>
          <w:lang w:val="en-CA"/>
        </w:rPr>
        <w:t>, Ina Oganezova</w:t>
      </w:r>
      <w:r w:rsidRPr="00BF58EC">
        <w:rPr>
          <w:iCs/>
          <w:vertAlign w:val="superscript"/>
          <w:lang w:val="en-CA"/>
        </w:rPr>
        <w:t>1</w:t>
      </w:r>
      <w:r w:rsidRPr="00BF58EC">
        <w:rPr>
          <w:iCs/>
          <w:lang w:val="en-CA"/>
        </w:rPr>
        <w:t>, Wanbin Hu</w:t>
      </w:r>
      <w:r w:rsidRPr="006E04B8">
        <w:rPr>
          <w:iCs/>
          <w:vertAlign w:val="superscript"/>
          <w:lang w:val="en-CA"/>
        </w:rPr>
        <w:t>2</w:t>
      </w:r>
      <w:r w:rsidRPr="00BF58EC">
        <w:rPr>
          <w:iCs/>
          <w:lang w:val="en-CA"/>
        </w:rPr>
        <w:t>, Yi Ding</w:t>
      </w:r>
      <w:r w:rsidRPr="00BF58EC">
        <w:rPr>
          <w:iCs/>
          <w:vertAlign w:val="superscript"/>
          <w:lang w:val="en-CA"/>
        </w:rPr>
        <w:t>2</w:t>
      </w:r>
      <w:r w:rsidRPr="00BF58EC">
        <w:rPr>
          <w:iCs/>
          <w:lang w:val="en-CA"/>
        </w:rPr>
        <w:t>, Antonios Papaioannou</w:t>
      </w:r>
      <w:r w:rsidRPr="00BF58EC">
        <w:rPr>
          <w:iCs/>
          <w:vertAlign w:val="superscript"/>
          <w:lang w:val="en-CA"/>
        </w:rPr>
        <w:t>3</w:t>
      </w:r>
      <w:r w:rsidRPr="00BF58EC">
        <w:rPr>
          <w:iCs/>
          <w:lang w:val="en-CA"/>
        </w:rPr>
        <w:t>, Huub J.M. de Groot</w:t>
      </w:r>
      <w:r w:rsidRPr="00BF58EC">
        <w:rPr>
          <w:iCs/>
          <w:vertAlign w:val="superscript"/>
          <w:lang w:val="en-CA"/>
        </w:rPr>
        <w:t>1</w:t>
      </w:r>
      <w:r w:rsidRPr="00BF58EC">
        <w:rPr>
          <w:iCs/>
          <w:lang w:val="en-CA"/>
        </w:rPr>
        <w:t>, Herman P. Spaink</w:t>
      </w:r>
      <w:r w:rsidRPr="00BF58EC">
        <w:rPr>
          <w:iCs/>
          <w:vertAlign w:val="superscript"/>
          <w:lang w:val="en-CA"/>
        </w:rPr>
        <w:t>2</w:t>
      </w:r>
      <w:r w:rsidRPr="00BF58EC">
        <w:rPr>
          <w:iCs/>
          <w:lang w:val="en-CA"/>
        </w:rPr>
        <w:t>, and A Alia</w:t>
      </w:r>
      <w:r w:rsidRPr="00BF58EC">
        <w:rPr>
          <w:iCs/>
          <w:vertAlign w:val="superscript"/>
          <w:lang w:val="en-CA"/>
        </w:rPr>
        <w:t>1,4</w:t>
      </w:r>
      <w:r w:rsidRPr="00BF58EC">
        <w:rPr>
          <w:iCs/>
          <w:lang w:val="en-CA"/>
        </w:rPr>
        <w:t>*</w:t>
      </w:r>
    </w:p>
    <w:p w14:paraId="658784A5" w14:textId="77777777" w:rsidR="00C0709B" w:rsidRPr="00326924" w:rsidRDefault="00C0709B" w:rsidP="00C0709B">
      <w:pPr>
        <w:pStyle w:val="MDPI16affiliation"/>
        <w:rPr>
          <w:color w:val="000000" w:themeColor="text1"/>
        </w:rPr>
      </w:pPr>
      <w:r w:rsidRPr="00326924">
        <w:rPr>
          <w:color w:val="000000" w:themeColor="text1"/>
          <w:vertAlign w:val="superscript"/>
        </w:rPr>
        <w:t>1</w:t>
      </w:r>
      <w:r w:rsidRPr="00326924">
        <w:rPr>
          <w:color w:val="000000" w:themeColor="text1"/>
        </w:rPr>
        <w:tab/>
        <w:t>Leiden Institute of Chemistry, Leiden University, Einsteinweg 55, 2301 RA Leiden, The Netherlands</w:t>
      </w:r>
      <w:r>
        <w:rPr>
          <w:color w:val="000000" w:themeColor="text1"/>
        </w:rPr>
        <w:t xml:space="preserve">, </w:t>
      </w:r>
      <w:r w:rsidRPr="009554B5">
        <w:rPr>
          <w:color w:val="000000" w:themeColor="text1"/>
        </w:rPr>
        <w:t>a.alia@chem.leidenuniv.nl</w:t>
      </w:r>
    </w:p>
    <w:p w14:paraId="1AF8AA40" w14:textId="0F67AF76" w:rsidR="00C0709B" w:rsidRPr="00326924" w:rsidRDefault="00C0709B" w:rsidP="00C0709B">
      <w:pPr>
        <w:pStyle w:val="MDPI16affiliation"/>
        <w:rPr>
          <w:color w:val="000000" w:themeColor="text1"/>
        </w:rPr>
      </w:pPr>
      <w:r w:rsidRPr="00326924">
        <w:rPr>
          <w:color w:val="000000" w:themeColor="text1"/>
          <w:vertAlign w:val="superscript"/>
        </w:rPr>
        <w:t>2</w:t>
      </w:r>
      <w:r w:rsidRPr="00326924">
        <w:rPr>
          <w:color w:val="000000" w:themeColor="text1"/>
        </w:rPr>
        <w:t xml:space="preserve">  </w:t>
      </w:r>
      <w:r w:rsidR="00C5052C">
        <w:rPr>
          <w:color w:val="000000" w:themeColor="text1"/>
        </w:rPr>
        <w:t xml:space="preserve"> </w:t>
      </w:r>
      <w:r w:rsidRPr="00326924">
        <w:rPr>
          <w:color w:val="000000" w:themeColor="text1"/>
        </w:rPr>
        <w:t>Institute of Biology, Leiden University, Einsteinweg 55, 2301 RA Leiden, The Netherlands</w:t>
      </w:r>
      <w:r>
        <w:rPr>
          <w:color w:val="000000" w:themeColor="text1"/>
        </w:rPr>
        <w:t xml:space="preserve">, </w:t>
      </w:r>
      <w:r w:rsidRPr="00913F99">
        <w:rPr>
          <w:color w:val="000000" w:themeColor="text1"/>
        </w:rPr>
        <w:t>h.p.spaink@biology.leidenuniv.nl</w:t>
      </w:r>
    </w:p>
    <w:p w14:paraId="50A819D6" w14:textId="77777777" w:rsidR="00C0709B" w:rsidRPr="00913F99" w:rsidRDefault="00C0709B" w:rsidP="00C0709B">
      <w:pPr>
        <w:pStyle w:val="MDPI16affiliation"/>
        <w:rPr>
          <w:lang w:val="de-DE"/>
        </w:rPr>
      </w:pPr>
      <w:r w:rsidRPr="00913F99">
        <w:rPr>
          <w:color w:val="000000" w:themeColor="text1"/>
          <w:vertAlign w:val="superscript"/>
          <w:lang w:val="de-DE"/>
        </w:rPr>
        <w:t>3</w:t>
      </w:r>
      <w:r w:rsidRPr="00913F99">
        <w:rPr>
          <w:color w:val="000000" w:themeColor="text1"/>
          <w:lang w:val="de-DE"/>
        </w:rPr>
        <w:tab/>
        <w:t xml:space="preserve">Bruker BioSpin GmbH, NMR Microscopy, Rheinstetten, Germany, </w:t>
      </w:r>
      <w:r w:rsidRPr="00BC4159">
        <w:rPr>
          <w:color w:val="000000" w:themeColor="text1"/>
          <w:lang w:val="de-DE"/>
        </w:rPr>
        <w:t>antonios.papaioannou@bruker.com</w:t>
      </w:r>
    </w:p>
    <w:p w14:paraId="5BF4169C" w14:textId="17C3089A" w:rsidR="00C0709B" w:rsidRPr="00140799" w:rsidRDefault="00C0709B" w:rsidP="00C0709B">
      <w:pPr>
        <w:pStyle w:val="MDPI16affiliation"/>
        <w:rPr>
          <w:color w:val="000000" w:themeColor="text1"/>
          <w:lang w:val="nl-NL"/>
        </w:rPr>
      </w:pPr>
      <w:r w:rsidRPr="00027A87">
        <w:rPr>
          <w:vertAlign w:val="superscript"/>
          <w:lang w:val="de-DE"/>
        </w:rPr>
        <w:t>4</w:t>
      </w:r>
      <w:r>
        <w:rPr>
          <w:lang w:val="de-DE"/>
        </w:rPr>
        <w:t xml:space="preserve">  </w:t>
      </w:r>
      <w:r w:rsidR="00C5052C">
        <w:rPr>
          <w:lang w:val="de-DE"/>
        </w:rPr>
        <w:t xml:space="preserve"> </w:t>
      </w:r>
      <w:r w:rsidRPr="008A3121">
        <w:rPr>
          <w:color w:val="000000" w:themeColor="text1"/>
          <w:lang w:val="de-DE"/>
        </w:rPr>
        <w:t xml:space="preserve">Institut für Medizinische Physik und Biophysik, Universität Leipzig, Härtelstr. </w:t>
      </w:r>
      <w:r w:rsidRPr="00140799">
        <w:rPr>
          <w:color w:val="000000" w:themeColor="text1"/>
          <w:lang w:val="nl-NL"/>
        </w:rPr>
        <w:t xml:space="preserve">16-18, D-04107 Leipzig, </w:t>
      </w:r>
    </w:p>
    <w:p w14:paraId="3E143FC8" w14:textId="51E0279C" w:rsidR="00C0709B" w:rsidRPr="00326924" w:rsidRDefault="00C0709B" w:rsidP="00C0709B">
      <w:pPr>
        <w:pStyle w:val="MDPI16affiliation"/>
        <w:rPr>
          <w:color w:val="000000" w:themeColor="text1"/>
        </w:rPr>
      </w:pPr>
      <w:r w:rsidRPr="00140799">
        <w:rPr>
          <w:color w:val="000000" w:themeColor="text1"/>
          <w:lang w:val="nl-NL"/>
        </w:rPr>
        <w:t xml:space="preserve">    </w:t>
      </w:r>
      <w:r w:rsidRPr="00326924">
        <w:rPr>
          <w:color w:val="000000" w:themeColor="text1"/>
        </w:rPr>
        <w:t>Germany</w:t>
      </w:r>
      <w:r>
        <w:rPr>
          <w:color w:val="000000" w:themeColor="text1"/>
        </w:rPr>
        <w:t xml:space="preserve">, </w:t>
      </w:r>
      <w:r w:rsidRPr="00604DC2">
        <w:rPr>
          <w:color w:val="000000" w:themeColor="text1"/>
        </w:rPr>
        <w:t>Alia.AliaMatysik@medizin.uni-leipzig.de</w:t>
      </w:r>
    </w:p>
    <w:p w14:paraId="29DF9EB8" w14:textId="77777777" w:rsidR="00C0709B" w:rsidRPr="00F355DA" w:rsidRDefault="00C0709B" w:rsidP="00C0709B">
      <w:pPr>
        <w:pStyle w:val="MDPI16affiliation"/>
      </w:pPr>
      <w:r w:rsidRPr="00F355DA">
        <w:rPr>
          <w:b/>
          <w:color w:val="000000" w:themeColor="text1"/>
        </w:rPr>
        <w:t>*</w:t>
      </w:r>
      <w:r w:rsidRPr="00F355DA">
        <w:rPr>
          <w:color w:val="000000" w:themeColor="text1"/>
        </w:rPr>
        <w:tab/>
        <w:t>Correspondence</w:t>
      </w:r>
      <w:r>
        <w:rPr>
          <w:color w:val="000000" w:themeColor="text1"/>
        </w:rPr>
        <w:t xml:space="preserve"> </w:t>
      </w:r>
      <w:r w:rsidRPr="009554B5">
        <w:rPr>
          <w:color w:val="000000" w:themeColor="text1"/>
        </w:rPr>
        <w:t>a.alia@chem.leidenuniv.nl</w:t>
      </w:r>
      <w:r w:rsidRPr="00F355DA">
        <w:t xml:space="preserve">; Tel.: </w:t>
      </w:r>
      <w:r w:rsidRPr="007D0110">
        <w:t>(0341) 97-15707</w:t>
      </w:r>
    </w:p>
    <w:p w14:paraId="2C341DDD" w14:textId="77777777" w:rsidR="006B096A" w:rsidRDefault="006B096A" w:rsidP="006B096A">
      <w:pPr>
        <w:rPr>
          <w:lang w:val="en-US" w:eastAsia="en-US"/>
        </w:rPr>
      </w:pPr>
    </w:p>
    <w:p w14:paraId="68B28114" w14:textId="77777777" w:rsidR="00E0206D" w:rsidRDefault="00E0206D" w:rsidP="006B096A">
      <w:pPr>
        <w:rPr>
          <w:lang w:val="en-US" w:eastAsia="en-US"/>
        </w:rPr>
      </w:pPr>
    </w:p>
    <w:p w14:paraId="0A948BA2" w14:textId="77777777" w:rsidR="00E0206D" w:rsidRDefault="00E0206D" w:rsidP="006B096A">
      <w:pPr>
        <w:rPr>
          <w:lang w:val="en-US" w:eastAsia="en-US"/>
        </w:rPr>
      </w:pPr>
    </w:p>
    <w:p w14:paraId="2F93179D" w14:textId="77777777" w:rsidR="00E0206D" w:rsidRDefault="00E0206D" w:rsidP="006B096A">
      <w:pPr>
        <w:rPr>
          <w:lang w:val="en-US" w:eastAsia="en-US"/>
        </w:rPr>
      </w:pPr>
    </w:p>
    <w:p w14:paraId="00500EAA" w14:textId="7C4BD7FD" w:rsidR="00E0206D" w:rsidRDefault="00E0206D" w:rsidP="006B096A">
      <w:pPr>
        <w:rPr>
          <w:lang w:val="en-US" w:eastAsia="en-US"/>
        </w:rPr>
      </w:pPr>
    </w:p>
    <w:p w14:paraId="1655394B" w14:textId="77777777" w:rsidR="0031573D" w:rsidRPr="0031573D" w:rsidRDefault="0031573D" w:rsidP="0031573D">
      <w:pPr>
        <w:autoSpaceDE w:val="0"/>
        <w:autoSpaceDN w:val="0"/>
        <w:adjustRightInd w:val="0"/>
        <w:rPr>
          <w:rFonts w:eastAsiaTheme="minorEastAsia"/>
          <w:b/>
          <w:bCs/>
          <w:lang w:val="en-US"/>
          <w14:ligatures w14:val="standardContextual"/>
        </w:rPr>
      </w:pPr>
      <w:r w:rsidRPr="0031573D">
        <w:rPr>
          <w:rFonts w:eastAsiaTheme="minorEastAsia"/>
          <w:b/>
          <w:bCs/>
          <w:lang w:val="en-US"/>
          <w14:ligatures w14:val="standardContextual"/>
        </w:rPr>
        <w:t>Supporting Information Available</w:t>
      </w:r>
    </w:p>
    <w:p w14:paraId="09899ECF" w14:textId="77777777" w:rsidR="0031573D" w:rsidRPr="0031573D" w:rsidRDefault="0031573D" w:rsidP="0031573D">
      <w:pPr>
        <w:autoSpaceDE w:val="0"/>
        <w:autoSpaceDN w:val="0"/>
        <w:adjustRightInd w:val="0"/>
        <w:rPr>
          <w:rFonts w:eastAsiaTheme="minorEastAsia"/>
          <w:lang w:val="en-US"/>
          <w14:ligatures w14:val="standardContextual"/>
        </w:rPr>
      </w:pPr>
    </w:p>
    <w:p w14:paraId="2608B5D0" w14:textId="7980A9F4" w:rsidR="0031573D" w:rsidRDefault="00426CA3" w:rsidP="0031573D">
      <w:pPr>
        <w:rPr>
          <w:lang w:bidi="en-US"/>
        </w:rPr>
      </w:pPr>
      <w:r w:rsidRPr="00C54454">
        <w:rPr>
          <w:lang w:bidi="en-US"/>
        </w:rPr>
        <w:t xml:space="preserve">Figure S1. </w:t>
      </w:r>
      <w:r w:rsidR="00DE5B49" w:rsidRPr="00DE5B49">
        <w:rPr>
          <w:lang w:bidi="en-US"/>
        </w:rPr>
        <w:t>Superior identification of brain structures based on diffusion weighted imaging (DWI) contrast as compared to RARE image contrast.</w:t>
      </w:r>
    </w:p>
    <w:p w14:paraId="1A0E2372" w14:textId="77777777" w:rsidR="00426CA3" w:rsidRDefault="00426CA3" w:rsidP="0031573D">
      <w:pPr>
        <w:rPr>
          <w:lang w:bidi="en-US"/>
        </w:rPr>
      </w:pPr>
    </w:p>
    <w:p w14:paraId="5ECB0D76" w14:textId="6C006BEF" w:rsidR="00AC2C98" w:rsidRDefault="00426CA3" w:rsidP="0031573D">
      <w:pPr>
        <w:rPr>
          <w:lang w:bidi="en-US"/>
        </w:rPr>
      </w:pPr>
      <w:r w:rsidRPr="00C54454">
        <w:rPr>
          <w:lang w:bidi="en-US"/>
        </w:rPr>
        <w:t xml:space="preserve">Figure S2. </w:t>
      </w:r>
      <w:r w:rsidR="002D3C5A" w:rsidRPr="002D3C5A">
        <w:rPr>
          <w:lang w:bidi="en-US"/>
        </w:rPr>
        <w:t>Response function estimation from DTI dataset of adult zebrafish brain.</w:t>
      </w:r>
    </w:p>
    <w:p w14:paraId="25104010" w14:textId="77777777" w:rsidR="002D3C5A" w:rsidRDefault="002D3C5A" w:rsidP="0031573D">
      <w:pPr>
        <w:rPr>
          <w:lang w:bidi="en-US"/>
        </w:rPr>
      </w:pPr>
    </w:p>
    <w:p w14:paraId="658C7DE0" w14:textId="781E1993" w:rsidR="00426CA3" w:rsidRDefault="00426CA3" w:rsidP="0031573D">
      <w:pPr>
        <w:rPr>
          <w:rFonts w:eastAsiaTheme="minorEastAsia"/>
          <w:lang w:val="en-US"/>
          <w14:ligatures w14:val="standardContextual"/>
        </w:rPr>
      </w:pPr>
      <w:r w:rsidRPr="00C54454">
        <w:rPr>
          <w:lang w:bidi="en-US"/>
        </w:rPr>
        <w:t xml:space="preserve">Figure S3. </w:t>
      </w:r>
      <w:r w:rsidR="00914FF5" w:rsidRPr="00914FF5">
        <w:rPr>
          <w:lang w:bidi="en-US"/>
        </w:rPr>
        <w:t>3D DTI results of adult zebrafish brain, showing coronal, sagittal, and axial slices, acquired at 28.2 T.</w:t>
      </w:r>
    </w:p>
    <w:p w14:paraId="57329BE4" w14:textId="77777777" w:rsidR="0031573D" w:rsidRDefault="0031573D" w:rsidP="0031573D">
      <w:pPr>
        <w:rPr>
          <w:rFonts w:eastAsiaTheme="minorEastAsia"/>
          <w:lang w:val="en-US"/>
          <w14:ligatures w14:val="standardContextual"/>
        </w:rPr>
      </w:pPr>
    </w:p>
    <w:p w14:paraId="0204E14C" w14:textId="77777777" w:rsidR="0031573D" w:rsidRDefault="0031573D" w:rsidP="0031573D">
      <w:pPr>
        <w:rPr>
          <w:rFonts w:eastAsiaTheme="minorEastAsia"/>
          <w:lang w:val="en-US"/>
          <w14:ligatures w14:val="standardContextual"/>
        </w:rPr>
      </w:pPr>
    </w:p>
    <w:p w14:paraId="14D5E58D" w14:textId="77777777" w:rsidR="0031573D" w:rsidRDefault="0031573D" w:rsidP="0031573D">
      <w:pPr>
        <w:rPr>
          <w:rFonts w:eastAsiaTheme="minorEastAsia"/>
          <w:lang w:val="en-US"/>
          <w14:ligatures w14:val="standardContextual"/>
        </w:rPr>
      </w:pPr>
    </w:p>
    <w:p w14:paraId="1BD4A23F" w14:textId="77777777" w:rsidR="0031573D" w:rsidRDefault="0031573D" w:rsidP="0031573D">
      <w:pPr>
        <w:rPr>
          <w:rFonts w:eastAsiaTheme="minorEastAsia"/>
          <w:lang w:val="en-US"/>
          <w14:ligatures w14:val="standardContextual"/>
        </w:rPr>
      </w:pPr>
    </w:p>
    <w:p w14:paraId="7166AC4C" w14:textId="77777777" w:rsidR="0031573D" w:rsidRDefault="0031573D" w:rsidP="0031573D">
      <w:pPr>
        <w:rPr>
          <w:rFonts w:eastAsiaTheme="minorEastAsia"/>
          <w:lang w:val="en-US"/>
          <w14:ligatures w14:val="standardContextual"/>
        </w:rPr>
      </w:pPr>
    </w:p>
    <w:p w14:paraId="390BA613" w14:textId="77777777" w:rsidR="0031573D" w:rsidRDefault="0031573D" w:rsidP="0031573D">
      <w:pPr>
        <w:rPr>
          <w:rFonts w:eastAsiaTheme="minorEastAsia"/>
          <w:lang w:val="en-US"/>
          <w14:ligatures w14:val="standardContextual"/>
        </w:rPr>
      </w:pPr>
    </w:p>
    <w:p w14:paraId="7F530958" w14:textId="77777777" w:rsidR="0031573D" w:rsidRDefault="0031573D" w:rsidP="0031573D">
      <w:pPr>
        <w:rPr>
          <w:rFonts w:eastAsiaTheme="minorEastAsia"/>
          <w:lang w:val="en-US"/>
          <w14:ligatures w14:val="standardContextual"/>
        </w:rPr>
      </w:pPr>
    </w:p>
    <w:p w14:paraId="50606F41" w14:textId="77777777" w:rsidR="0031573D" w:rsidRDefault="0031573D" w:rsidP="0031573D">
      <w:pPr>
        <w:rPr>
          <w:rFonts w:eastAsiaTheme="minorEastAsia"/>
          <w:lang w:val="en-US"/>
          <w14:ligatures w14:val="standardContextual"/>
        </w:rPr>
      </w:pPr>
    </w:p>
    <w:p w14:paraId="6DA33C13" w14:textId="77777777" w:rsidR="0031573D" w:rsidRDefault="0031573D" w:rsidP="0031573D">
      <w:pPr>
        <w:rPr>
          <w:rFonts w:eastAsiaTheme="minorEastAsia"/>
          <w:lang w:val="en-US"/>
          <w14:ligatures w14:val="standardContextual"/>
        </w:rPr>
      </w:pPr>
    </w:p>
    <w:p w14:paraId="2442C838" w14:textId="77777777" w:rsidR="0031573D" w:rsidRDefault="0031573D" w:rsidP="0031573D">
      <w:pPr>
        <w:rPr>
          <w:rFonts w:eastAsiaTheme="minorEastAsia"/>
          <w:lang w:val="en-US"/>
          <w14:ligatures w14:val="standardContextual"/>
        </w:rPr>
      </w:pPr>
    </w:p>
    <w:p w14:paraId="137034C8" w14:textId="77777777" w:rsidR="0031573D" w:rsidRDefault="0031573D" w:rsidP="0031573D">
      <w:pPr>
        <w:rPr>
          <w:rFonts w:eastAsiaTheme="minorEastAsia"/>
          <w:lang w:val="en-US"/>
          <w14:ligatures w14:val="standardContextual"/>
        </w:rPr>
      </w:pPr>
    </w:p>
    <w:p w14:paraId="3404A09F" w14:textId="77777777" w:rsidR="0031573D" w:rsidRDefault="0031573D" w:rsidP="0031573D">
      <w:pPr>
        <w:rPr>
          <w:rFonts w:eastAsiaTheme="minorEastAsia"/>
          <w:lang w:val="en-US"/>
          <w14:ligatures w14:val="standardContextual"/>
        </w:rPr>
      </w:pPr>
    </w:p>
    <w:p w14:paraId="728183D9" w14:textId="77777777" w:rsidR="003511B3" w:rsidRDefault="003511B3" w:rsidP="0031573D">
      <w:pPr>
        <w:rPr>
          <w:rFonts w:eastAsiaTheme="minorEastAsia"/>
          <w:lang w:val="en-US"/>
          <w14:ligatures w14:val="standardContextual"/>
        </w:rPr>
      </w:pPr>
    </w:p>
    <w:p w14:paraId="127B6DC5" w14:textId="77777777" w:rsidR="003511B3" w:rsidRDefault="003511B3" w:rsidP="0031573D">
      <w:pPr>
        <w:rPr>
          <w:rFonts w:eastAsiaTheme="minorEastAsia"/>
          <w:lang w:val="en-US"/>
          <w14:ligatures w14:val="standardContextual"/>
        </w:rPr>
      </w:pPr>
    </w:p>
    <w:p w14:paraId="3256CC04" w14:textId="77777777" w:rsidR="003511B3" w:rsidRDefault="003511B3" w:rsidP="0031573D">
      <w:pPr>
        <w:rPr>
          <w:rFonts w:eastAsiaTheme="minorEastAsia"/>
          <w:lang w:val="en-US"/>
          <w14:ligatures w14:val="standardContextual"/>
        </w:rPr>
      </w:pPr>
    </w:p>
    <w:p w14:paraId="3A67DD98" w14:textId="77777777" w:rsidR="003511B3" w:rsidRDefault="003511B3" w:rsidP="0031573D">
      <w:pPr>
        <w:rPr>
          <w:rFonts w:eastAsiaTheme="minorEastAsia"/>
          <w:lang w:val="en-US"/>
          <w14:ligatures w14:val="standardContextual"/>
        </w:rPr>
      </w:pPr>
    </w:p>
    <w:p w14:paraId="07D5A1ED" w14:textId="77777777" w:rsidR="0031573D" w:rsidRDefault="0031573D" w:rsidP="0031573D">
      <w:pPr>
        <w:rPr>
          <w:rFonts w:eastAsiaTheme="minorEastAsia"/>
          <w:lang w:val="en-US"/>
          <w14:ligatures w14:val="standardContextual"/>
        </w:rPr>
      </w:pPr>
    </w:p>
    <w:p w14:paraId="23380841" w14:textId="77777777" w:rsidR="0031573D" w:rsidRPr="0031573D" w:rsidRDefault="0031573D" w:rsidP="0031573D">
      <w:pPr>
        <w:rPr>
          <w:lang w:val="en-US" w:eastAsia="en-US"/>
        </w:rPr>
      </w:pPr>
    </w:p>
    <w:p w14:paraId="490E4F63" w14:textId="77777777" w:rsidR="00E0206D" w:rsidRDefault="00E0206D" w:rsidP="00E0206D">
      <w:pPr>
        <w:jc w:val="both"/>
        <w:rPr>
          <w:lang w:val="en-US" w:eastAsia="ko-KR"/>
        </w:rPr>
      </w:pPr>
    </w:p>
    <w:p w14:paraId="7DEF14F6" w14:textId="2AB2B6E9" w:rsidR="006B096A" w:rsidRDefault="003511B3" w:rsidP="006B096A">
      <w:pPr>
        <w:spacing w:line="360" w:lineRule="auto"/>
        <w:jc w:val="center"/>
        <w:rPr>
          <w:b/>
          <w:bCs/>
          <w:lang w:eastAsia="ko-KR"/>
        </w:rPr>
      </w:pPr>
      <w:r w:rsidRPr="00D177BF">
        <w:rPr>
          <w:b/>
          <w:noProof/>
        </w:rPr>
        <w:drawing>
          <wp:inline distT="0" distB="0" distL="0" distR="0" wp14:anchorId="251FC3EA" wp14:editId="2C496EF7">
            <wp:extent cx="5760000" cy="3048938"/>
            <wp:effectExtent l="0" t="0" r="0" b="0"/>
            <wp:docPr id="90" name="Picture 90" descr="A close-up of a scan of a sku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scan of a skull&#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000" cy="3048938"/>
                    </a:xfrm>
                    <a:prstGeom prst="rect">
                      <a:avLst/>
                    </a:prstGeom>
                    <a:noFill/>
                  </pic:spPr>
                </pic:pic>
              </a:graphicData>
            </a:graphic>
          </wp:inline>
        </w:drawing>
      </w:r>
    </w:p>
    <w:p w14:paraId="55BACDBA" w14:textId="77777777" w:rsidR="004842ED" w:rsidRDefault="004842ED" w:rsidP="004842ED">
      <w:pPr>
        <w:jc w:val="both"/>
        <w:rPr>
          <w:b/>
          <w:bCs/>
          <w:lang w:eastAsia="ko-KR"/>
        </w:rPr>
      </w:pPr>
    </w:p>
    <w:p w14:paraId="58042BAF" w14:textId="55451170" w:rsidR="006B096A" w:rsidRPr="00475F68" w:rsidRDefault="009D44D4" w:rsidP="004842ED">
      <w:pPr>
        <w:jc w:val="both"/>
        <w:rPr>
          <w:b/>
          <w:bCs/>
          <w:lang w:eastAsia="ko-KR"/>
        </w:rPr>
      </w:pPr>
      <w:r>
        <w:rPr>
          <w:b/>
          <w:bCs/>
          <w:lang w:eastAsia="ko-KR"/>
        </w:rPr>
        <w:t xml:space="preserve">Figure </w:t>
      </w:r>
      <w:r w:rsidR="006B096A">
        <w:rPr>
          <w:b/>
          <w:bCs/>
          <w:lang w:eastAsia="ko-KR"/>
        </w:rPr>
        <w:t>S1</w:t>
      </w:r>
      <w:r>
        <w:rPr>
          <w:lang w:eastAsia="ko-KR"/>
        </w:rPr>
        <w:t>.</w:t>
      </w:r>
      <w:r w:rsidR="006B096A" w:rsidRPr="00932917">
        <w:rPr>
          <w:lang w:eastAsia="ko-KR"/>
        </w:rPr>
        <w:t xml:space="preserve">  </w:t>
      </w:r>
      <w:r w:rsidR="00390B5D" w:rsidRPr="00390B5D">
        <w:rPr>
          <w:b/>
          <w:bCs/>
          <w:lang w:eastAsia="ko-KR"/>
        </w:rPr>
        <w:t>Superior identification of brain structures based on diffusion weighted imaging (DWI) contrast as compared to RARE image contrast.</w:t>
      </w:r>
      <w:r w:rsidR="00390B5D">
        <w:rPr>
          <w:lang w:eastAsia="ko-KR"/>
        </w:rPr>
        <w:t xml:space="preserve"> </w:t>
      </w:r>
      <w:r w:rsidR="00D07D73" w:rsidRPr="00D07D73">
        <w:rPr>
          <w:lang w:eastAsia="ko-KR"/>
        </w:rPr>
        <w:t>A representative sagittal slice of RARE image taken in the head of a zebrafish acquired at 28.2 T. RARE acquisition details: TR 3000 ms, TE 5.6 ms, 16 averages, resolution 23 μm × 23 μm × 200 μm, RARE factor 4. SNR maps generated from RARE images (right column); [B] A representative sagittal slice of DWI measurement taken in the head of a zebrafish at a b-values of 1000 s/mm2. Acquisition details: TR 1000 ms, TE 20.2 ms, 4 averages, resolution 23 μm × 23 μm × 200 μm. Structure numbering (kept same as in Fig. 2):  3 – Medial zone of dorsal telencephalon; 4 – Posterior zone of dorsal telencephalon area; 5 – Dorsal habenular nucleus; 6 – Optic tectum; 7 – Tectal ventricle; 8 – Longitudinal torus; 9 – Periventricular gray zone of optic tectum; 10 – Ventrolateral nucleus of semicircular torus; 11 – Medial division of valvula cerebelli, molecular level; 12 - Medial division of valvula cerebelli, granular layer; 13 – Granular eminence; 14 – Cerebellar corpus, granular layer; 15 – Rhombencephalic ventricle; 16 – Caudal lobe of cerebellum; 17 – Medial octavolateralis nucleus; 18 – Facial lobe; 19 – Vagal lobe; 20 – Medial funicular nucleus; 21 – Cereberal corpus, molecular layer; 22 – Medial longitudinal fascicle; 23 – Dorsal sac, 24 – Cerebellar crest; 25 – Diffuse nucleus of the inferior lobe; 26 – Mammillary body; 27 – Caudal zone of periventricular hypothalamus; 28 – Ventral zone of periventricular hypothalamus; 29 – Parvocellular preoptic nucleus, anterior part; 30 – Ventral nucleus of ventral telencephalon area; 31 – Olfactory bulb; 32 – Interpeduncular nucleus.</w:t>
      </w:r>
    </w:p>
    <w:p w14:paraId="002C55BF" w14:textId="273F47E7" w:rsidR="001D7D74" w:rsidRDefault="00ED407C" w:rsidP="006B096A">
      <w:pPr>
        <w:spacing w:line="360" w:lineRule="auto"/>
        <w:jc w:val="both"/>
        <w:rPr>
          <w:lang w:eastAsia="ko-KR"/>
        </w:rPr>
      </w:pPr>
      <w:r w:rsidRPr="00D177BF">
        <w:rPr>
          <w:noProof/>
        </w:rPr>
        <w:lastRenderedPageBreak/>
        <w:drawing>
          <wp:inline distT="0" distB="0" distL="0" distR="0" wp14:anchorId="0EA113C9" wp14:editId="1BF236FC">
            <wp:extent cx="5760000" cy="2119678"/>
            <wp:effectExtent l="0" t="0" r="0" b="0"/>
            <wp:docPr id="92" name="Picture 92" descr="A graph of a graph and 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graph of a graph and a graph of a graph&#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000" cy="2119678"/>
                    </a:xfrm>
                    <a:prstGeom prst="rect">
                      <a:avLst/>
                    </a:prstGeom>
                    <a:noFill/>
                  </pic:spPr>
                </pic:pic>
              </a:graphicData>
            </a:graphic>
          </wp:inline>
        </w:drawing>
      </w:r>
    </w:p>
    <w:p w14:paraId="630F20EA" w14:textId="6F21C1E3" w:rsidR="001D7D74" w:rsidRDefault="001D7D74" w:rsidP="00390B5D">
      <w:pPr>
        <w:spacing w:line="360" w:lineRule="auto"/>
        <w:rPr>
          <w:lang w:eastAsia="ko-KR"/>
        </w:rPr>
      </w:pPr>
    </w:p>
    <w:p w14:paraId="72FF8989" w14:textId="6F0948A6" w:rsidR="006B096A" w:rsidRPr="00650B3C" w:rsidRDefault="001D7D74" w:rsidP="004842ED">
      <w:pPr>
        <w:jc w:val="both"/>
        <w:rPr>
          <w:rFonts w:ascii="Times" w:eastAsia="Batang" w:hAnsi="Times"/>
          <w:szCs w:val="20"/>
          <w:lang w:val="en-US" w:eastAsia="ko-KR"/>
        </w:rPr>
      </w:pPr>
      <w:r w:rsidRPr="00C5052C">
        <w:rPr>
          <w:rFonts w:ascii="Times" w:eastAsia="Batang" w:hAnsi="Times"/>
          <w:b/>
          <w:bCs/>
          <w:szCs w:val="20"/>
          <w:lang w:val="en-US" w:eastAsia="ko-KR"/>
        </w:rPr>
        <w:t>Figure S2</w:t>
      </w:r>
      <w:r w:rsidRPr="00C5052C">
        <w:rPr>
          <w:rFonts w:ascii="Times" w:eastAsia="Batang" w:hAnsi="Times"/>
          <w:szCs w:val="20"/>
          <w:lang w:val="en-US" w:eastAsia="ko-KR"/>
        </w:rPr>
        <w:t>.</w:t>
      </w:r>
      <w:r w:rsidR="00995AC0" w:rsidRPr="00C5052C">
        <w:rPr>
          <w:rFonts w:ascii="Times" w:eastAsia="Batang" w:hAnsi="Times"/>
          <w:szCs w:val="20"/>
          <w:lang w:val="en-US" w:eastAsia="ko-KR"/>
        </w:rPr>
        <w:t xml:space="preserve"> </w:t>
      </w:r>
      <w:r w:rsidR="004C7A93" w:rsidRPr="00C5052C">
        <w:rPr>
          <w:rFonts w:ascii="Times" w:eastAsia="Batang" w:hAnsi="Times"/>
          <w:b/>
          <w:bCs/>
          <w:szCs w:val="20"/>
          <w:lang w:val="en-US" w:eastAsia="ko-KR"/>
        </w:rPr>
        <w:t>Response function estimation from DTI dataset of adult zebrafish brain.</w:t>
      </w:r>
      <w:r w:rsidR="004C7A93" w:rsidRPr="00C5052C">
        <w:rPr>
          <w:rFonts w:ascii="Times" w:eastAsia="Batang" w:hAnsi="Times"/>
          <w:szCs w:val="20"/>
          <w:lang w:val="en-US" w:eastAsia="ko-KR"/>
        </w:rPr>
        <w:t xml:space="preserve"> </w:t>
      </w:r>
      <w:r w:rsidR="00170720" w:rsidRPr="00C5052C">
        <w:rPr>
          <w:rFonts w:ascii="Times" w:eastAsia="Batang" w:hAnsi="Times"/>
          <w:b/>
          <w:bCs/>
          <w:szCs w:val="20"/>
          <w:lang w:val="en-US" w:eastAsia="ko-KR"/>
        </w:rPr>
        <w:t>[A]</w:t>
      </w:r>
      <w:r w:rsidR="00170720" w:rsidRPr="00C5052C">
        <w:rPr>
          <w:rFonts w:ascii="Times" w:eastAsia="Batang" w:hAnsi="Times"/>
          <w:szCs w:val="20"/>
          <w:lang w:val="en-US" w:eastAsia="ko-KR"/>
        </w:rPr>
        <w:t xml:space="preserve"> Voxels used for the estimation of response function; WM (blue), GM (green), and CSF (red). The total number of voxels selected for the response function estimation was 60 (WM), 274 (GM), and 124 (CSF). </w:t>
      </w:r>
      <w:r w:rsidR="00170720" w:rsidRPr="00C5052C">
        <w:rPr>
          <w:rFonts w:ascii="Times" w:eastAsia="Batang" w:hAnsi="Times"/>
          <w:b/>
          <w:bCs/>
          <w:szCs w:val="20"/>
          <w:lang w:val="en-US" w:eastAsia="ko-KR"/>
        </w:rPr>
        <w:t>[B]</w:t>
      </w:r>
      <w:r w:rsidR="00170720" w:rsidRPr="00C5052C">
        <w:rPr>
          <w:rFonts w:ascii="Times" w:eastAsia="Batang" w:hAnsi="Times"/>
          <w:szCs w:val="20"/>
          <w:lang w:val="en-US" w:eastAsia="ko-KR"/>
        </w:rPr>
        <w:t xml:space="preserve"> Average normalized tissue response for WM, GM, and CSD as a function of </w:t>
      </w:r>
      <w:r w:rsidR="00170720" w:rsidRPr="00C5052C">
        <w:rPr>
          <w:rFonts w:ascii="Times" w:eastAsia="Batang" w:hAnsi="Times"/>
          <w:i/>
          <w:iCs/>
          <w:szCs w:val="20"/>
          <w:lang w:val="en-US" w:eastAsia="ko-KR"/>
        </w:rPr>
        <w:t>b</w:t>
      </w:r>
      <w:r w:rsidR="00170720" w:rsidRPr="00C5052C">
        <w:rPr>
          <w:rFonts w:ascii="Times" w:eastAsia="Batang" w:hAnsi="Times"/>
          <w:szCs w:val="20"/>
          <w:lang w:val="en-US" w:eastAsia="ko-KR"/>
        </w:rPr>
        <w:t xml:space="preserve">-values, </w:t>
      </w:r>
      <w:r w:rsidR="00170720" w:rsidRPr="00C5052C">
        <w:rPr>
          <w:rFonts w:ascii="Times" w:eastAsia="Batang" w:hAnsi="Times"/>
          <w:b/>
          <w:bCs/>
          <w:szCs w:val="20"/>
          <w:lang w:val="en-US" w:eastAsia="ko-KR"/>
        </w:rPr>
        <w:t>[C]</w:t>
      </w:r>
      <w:r w:rsidR="00170720" w:rsidRPr="00C5052C">
        <w:rPr>
          <w:rFonts w:ascii="Times" w:eastAsia="Batang" w:hAnsi="Times"/>
          <w:szCs w:val="20"/>
          <w:lang w:val="en-US" w:eastAsia="ko-KR"/>
        </w:rPr>
        <w:t xml:space="preserve"> average angular WM response at applied b-values.</w:t>
      </w:r>
      <w:r w:rsidR="00650B3C" w:rsidRPr="00C5052C">
        <w:rPr>
          <w:rFonts w:ascii="Times" w:eastAsia="Batang" w:hAnsi="Times"/>
          <w:szCs w:val="20"/>
          <w:lang w:val="en-US" w:eastAsia="ko-KR"/>
        </w:rPr>
        <w:t xml:space="preserve"> P</w:t>
      </w:r>
      <w:r w:rsidR="00170720" w:rsidRPr="00C5052C">
        <w:rPr>
          <w:rFonts w:ascii="Times" w:eastAsia="Batang" w:hAnsi="Times"/>
          <w:szCs w:val="20"/>
          <w:lang w:val="en-US" w:eastAsia="ko-KR"/>
        </w:rPr>
        <w:t xml:space="preserve">ure WM (blue), GM (green), and CSF (red) voxels from 3D DTI zebrafish brain data were automatically selected and used for the response function estimation. Fig. S2(B) shows the estimated normalized average tissue responses of WM, GM, and CSF as a function of applied b-values. At </w:t>
      </w:r>
      <w:r w:rsidR="00170720" w:rsidRPr="00C5052C">
        <w:rPr>
          <w:rFonts w:ascii="Times" w:eastAsia="Batang" w:hAnsi="Times"/>
          <w:i/>
          <w:iCs/>
          <w:szCs w:val="20"/>
          <w:lang w:val="en-US" w:eastAsia="ko-KR"/>
        </w:rPr>
        <w:t>b</w:t>
      </w:r>
      <w:r w:rsidR="00170720" w:rsidRPr="00C5052C">
        <w:rPr>
          <w:rFonts w:ascii="Times" w:eastAsia="Batang" w:hAnsi="Times"/>
          <w:szCs w:val="20"/>
          <w:lang w:val="en-US" w:eastAsia="ko-KR"/>
        </w:rPr>
        <w:t xml:space="preserve"> = 0 s/mm</w:t>
      </w:r>
      <w:r w:rsidR="00170720" w:rsidRPr="00C5052C">
        <w:rPr>
          <w:rFonts w:ascii="Times" w:eastAsia="Batang" w:hAnsi="Times"/>
          <w:szCs w:val="20"/>
          <w:vertAlign w:val="superscript"/>
          <w:lang w:val="en-US" w:eastAsia="ko-KR"/>
        </w:rPr>
        <w:t>2</w:t>
      </w:r>
      <w:r w:rsidR="00170720" w:rsidRPr="00C5052C">
        <w:rPr>
          <w:rFonts w:ascii="Times" w:eastAsia="Batang" w:hAnsi="Times"/>
          <w:szCs w:val="20"/>
          <w:lang w:val="en-US" w:eastAsia="ko-KR"/>
        </w:rPr>
        <w:t xml:space="preserve">, CSF and GM show a similar response, while WM response is approximately 20% lower. Towards </w:t>
      </w:r>
      <w:r w:rsidR="00170720" w:rsidRPr="00C5052C">
        <w:rPr>
          <w:rFonts w:ascii="Times" w:eastAsia="Batang" w:hAnsi="Times"/>
          <w:i/>
          <w:iCs/>
          <w:szCs w:val="20"/>
          <w:lang w:val="en-US" w:eastAsia="ko-KR"/>
        </w:rPr>
        <w:t>b</w:t>
      </w:r>
      <w:r w:rsidR="00170720" w:rsidRPr="00C5052C">
        <w:rPr>
          <w:rFonts w:ascii="Times" w:eastAsia="Batang" w:hAnsi="Times"/>
          <w:szCs w:val="20"/>
          <w:lang w:val="en-US" w:eastAsia="ko-KR"/>
        </w:rPr>
        <w:t xml:space="preserve"> = 1000 and 2500 s/mm</w:t>
      </w:r>
      <w:r w:rsidR="00170720" w:rsidRPr="00C5052C">
        <w:rPr>
          <w:rFonts w:ascii="Times" w:eastAsia="Batang" w:hAnsi="Times"/>
          <w:szCs w:val="20"/>
          <w:vertAlign w:val="superscript"/>
          <w:lang w:val="en-US" w:eastAsia="ko-KR"/>
        </w:rPr>
        <w:t>2</w:t>
      </w:r>
      <w:r w:rsidR="00170720" w:rsidRPr="00C5052C">
        <w:rPr>
          <w:rFonts w:ascii="Times" w:eastAsia="Batang" w:hAnsi="Times"/>
          <w:szCs w:val="20"/>
          <w:lang w:val="en-US" w:eastAsia="ko-KR"/>
        </w:rPr>
        <w:t xml:space="preserve">, CSF shows a strong signal decline originating from the diffusivity of its free water content. Furthermore, the response of GM is higher than WM at </w:t>
      </w:r>
      <w:r w:rsidR="00170720" w:rsidRPr="00C5052C">
        <w:rPr>
          <w:rFonts w:ascii="Times" w:eastAsia="Batang" w:hAnsi="Times"/>
          <w:i/>
          <w:iCs/>
          <w:szCs w:val="20"/>
          <w:lang w:val="en-US" w:eastAsia="ko-KR"/>
        </w:rPr>
        <w:t>b</w:t>
      </w:r>
      <w:r w:rsidR="00170720" w:rsidRPr="00C5052C">
        <w:rPr>
          <w:rFonts w:ascii="Times" w:eastAsia="Batang" w:hAnsi="Times"/>
          <w:szCs w:val="20"/>
          <w:lang w:val="en-US" w:eastAsia="ko-KR"/>
        </w:rPr>
        <w:t xml:space="preserve"> = 1000 and 2500 s/mm</w:t>
      </w:r>
      <w:r w:rsidR="00170720" w:rsidRPr="00C5052C">
        <w:rPr>
          <w:rFonts w:ascii="Times" w:eastAsia="Batang" w:hAnsi="Times"/>
          <w:szCs w:val="20"/>
          <w:vertAlign w:val="superscript"/>
          <w:lang w:val="en-US" w:eastAsia="ko-KR"/>
        </w:rPr>
        <w:t>2</w:t>
      </w:r>
      <w:r w:rsidR="00170720" w:rsidRPr="00C5052C">
        <w:rPr>
          <w:rFonts w:ascii="Times" w:eastAsia="Batang" w:hAnsi="Times"/>
          <w:szCs w:val="20"/>
          <w:lang w:val="en-US" w:eastAsia="ko-KR"/>
        </w:rPr>
        <w:t xml:space="preserve">. However, towards higher </w:t>
      </w:r>
      <w:r w:rsidR="00170720" w:rsidRPr="00C5052C">
        <w:rPr>
          <w:rFonts w:ascii="Times" w:eastAsia="Batang" w:hAnsi="Times"/>
          <w:i/>
          <w:iCs/>
          <w:szCs w:val="20"/>
          <w:lang w:val="en-US" w:eastAsia="ko-KR"/>
        </w:rPr>
        <w:t>b</w:t>
      </w:r>
      <w:r w:rsidR="00170720" w:rsidRPr="00C5052C">
        <w:rPr>
          <w:rFonts w:ascii="Times" w:eastAsia="Batang" w:hAnsi="Times"/>
          <w:szCs w:val="20"/>
          <w:lang w:val="en-US" w:eastAsia="ko-KR"/>
        </w:rPr>
        <w:t>-values, this difference becomes smaller. These observations are consistent with WM, GM, and CSF response functions estimated by msmt-CSD for human brain data by Jeurissen et al (Jeurissen et al., 2014)</w:t>
      </w:r>
      <w:r w:rsidR="00A1771A" w:rsidRPr="00C5052C">
        <w:rPr>
          <w:rFonts w:ascii="Times" w:eastAsia="Batang" w:hAnsi="Times"/>
          <w:szCs w:val="20"/>
          <w:lang w:val="en-US" w:eastAsia="ko-KR"/>
        </w:rPr>
        <w:t xml:space="preserve"> [</w:t>
      </w:r>
      <w:r w:rsidR="0026453A" w:rsidRPr="00C5052C">
        <w:rPr>
          <w:rFonts w:ascii="Times" w:eastAsia="Batang" w:hAnsi="Times"/>
          <w:szCs w:val="20"/>
          <w:lang w:val="en-US" w:eastAsia="ko-KR"/>
        </w:rPr>
        <w:t>1</w:t>
      </w:r>
      <w:r w:rsidR="00A1771A" w:rsidRPr="00C5052C">
        <w:rPr>
          <w:rFonts w:ascii="Times" w:eastAsia="Batang" w:hAnsi="Times"/>
          <w:szCs w:val="20"/>
          <w:lang w:val="en-US" w:eastAsia="ko-KR"/>
        </w:rPr>
        <w:t>]</w:t>
      </w:r>
      <w:r w:rsidR="00170720" w:rsidRPr="00C5052C">
        <w:rPr>
          <w:rFonts w:ascii="Times" w:eastAsia="Batang" w:hAnsi="Times"/>
          <w:szCs w:val="20"/>
          <w:lang w:val="en-US" w:eastAsia="ko-KR"/>
        </w:rPr>
        <w:t xml:space="preserve">. </w:t>
      </w:r>
      <w:r w:rsidR="00030381" w:rsidRPr="00C5052C">
        <w:rPr>
          <w:rFonts w:ascii="Times" w:eastAsia="Batang" w:hAnsi="Times"/>
          <w:szCs w:val="20"/>
          <w:lang w:val="en-US" w:eastAsia="ko-KR"/>
        </w:rPr>
        <w:t>[C]</w:t>
      </w:r>
      <w:r w:rsidR="00170720" w:rsidRPr="00C5052C">
        <w:rPr>
          <w:rFonts w:ascii="Times" w:eastAsia="Batang" w:hAnsi="Times"/>
          <w:szCs w:val="20"/>
          <w:lang w:val="en-US" w:eastAsia="ko-KR"/>
        </w:rPr>
        <w:t xml:space="preserve"> shows the average angular response for WM as a function of the applied </w:t>
      </w:r>
      <w:r w:rsidR="00170720" w:rsidRPr="00C5052C">
        <w:rPr>
          <w:rFonts w:ascii="Times" w:eastAsia="Batang" w:hAnsi="Times"/>
          <w:i/>
          <w:iCs/>
          <w:szCs w:val="20"/>
          <w:lang w:val="en-US" w:eastAsia="ko-KR"/>
        </w:rPr>
        <w:t>b</w:t>
      </w:r>
      <w:r w:rsidR="00170720" w:rsidRPr="00C5052C">
        <w:rPr>
          <w:rFonts w:ascii="Times" w:eastAsia="Batang" w:hAnsi="Times"/>
          <w:szCs w:val="20"/>
          <w:lang w:val="en-US" w:eastAsia="ko-KR"/>
        </w:rPr>
        <w:t xml:space="preserve">-values. At increasing </w:t>
      </w:r>
      <w:r w:rsidR="00170720" w:rsidRPr="00C5052C">
        <w:rPr>
          <w:rFonts w:ascii="Times" w:eastAsia="Batang" w:hAnsi="Times"/>
          <w:i/>
          <w:iCs/>
          <w:szCs w:val="20"/>
          <w:lang w:val="en-US" w:eastAsia="ko-KR"/>
        </w:rPr>
        <w:t>b</w:t>
      </w:r>
      <w:r w:rsidR="00170720" w:rsidRPr="00C5052C">
        <w:rPr>
          <w:rFonts w:ascii="Times" w:eastAsia="Batang" w:hAnsi="Times"/>
          <w:szCs w:val="20"/>
          <w:lang w:val="en-US" w:eastAsia="ko-KR"/>
        </w:rPr>
        <w:t>-values, the amplitude of the WM response decreases while the signal response is increasingly anisotropic. These results are also consistent with previous reports of WM response functions in the human brain (Jeurissen et al., 2014)</w:t>
      </w:r>
      <w:r w:rsidR="007C2F27" w:rsidRPr="00C5052C">
        <w:rPr>
          <w:rFonts w:ascii="Times" w:eastAsia="Batang" w:hAnsi="Times"/>
          <w:szCs w:val="20"/>
          <w:lang w:val="en-US" w:eastAsia="ko-KR"/>
        </w:rPr>
        <w:t xml:space="preserve"> [</w:t>
      </w:r>
      <w:r w:rsidR="0026453A" w:rsidRPr="00C5052C">
        <w:rPr>
          <w:rFonts w:ascii="Times" w:eastAsia="Batang" w:hAnsi="Times"/>
          <w:szCs w:val="20"/>
          <w:lang w:val="en-US" w:eastAsia="ko-KR"/>
        </w:rPr>
        <w:t>1</w:t>
      </w:r>
      <w:r w:rsidR="007C2F27" w:rsidRPr="00C5052C">
        <w:rPr>
          <w:rFonts w:ascii="Times" w:eastAsia="Batang" w:hAnsi="Times"/>
          <w:szCs w:val="20"/>
          <w:lang w:val="en-US" w:eastAsia="ko-KR"/>
        </w:rPr>
        <w:t>]</w:t>
      </w:r>
      <w:r w:rsidR="00170720" w:rsidRPr="00C5052C">
        <w:rPr>
          <w:rFonts w:ascii="Times" w:eastAsia="Batang" w:hAnsi="Times"/>
          <w:szCs w:val="20"/>
          <w:lang w:val="en-US" w:eastAsia="ko-KR"/>
        </w:rPr>
        <w:t xml:space="preserve"> and murine brain data (Jillings et al., 2020)</w:t>
      </w:r>
      <w:r w:rsidR="00A1771A" w:rsidRPr="00C5052C">
        <w:rPr>
          <w:rFonts w:ascii="Times" w:eastAsia="Batang" w:hAnsi="Times"/>
          <w:szCs w:val="20"/>
          <w:lang w:val="en-US" w:eastAsia="ko-KR"/>
        </w:rPr>
        <w:t xml:space="preserve"> [</w:t>
      </w:r>
      <w:r w:rsidR="00A6473A" w:rsidRPr="00C5052C">
        <w:rPr>
          <w:rFonts w:ascii="Times" w:eastAsia="Batang" w:hAnsi="Times"/>
          <w:szCs w:val="20"/>
          <w:lang w:val="en-US" w:eastAsia="ko-KR"/>
        </w:rPr>
        <w:t>2</w:t>
      </w:r>
      <w:r w:rsidR="00A1771A" w:rsidRPr="00C5052C">
        <w:rPr>
          <w:rFonts w:ascii="Times" w:eastAsia="Batang" w:hAnsi="Times"/>
          <w:szCs w:val="20"/>
          <w:lang w:val="en-US" w:eastAsia="ko-KR"/>
        </w:rPr>
        <w:t>]</w:t>
      </w:r>
      <w:r w:rsidR="00170720" w:rsidRPr="00C5052C">
        <w:rPr>
          <w:rFonts w:ascii="Times" w:eastAsia="Batang" w:hAnsi="Times"/>
          <w:szCs w:val="20"/>
          <w:lang w:val="en-US" w:eastAsia="ko-KR"/>
        </w:rPr>
        <w:t>. Utilizing identical processing previously applied on human and murine brains, we successfully applied msmt-CSD on zebrafish DTI data. No additional adjustments for data processing were required, although for 2D DTI data, the percentage of WM voxels for response function estimation was elevated to 10% due to the low number of total available voxels.</w:t>
      </w:r>
      <w:r w:rsidR="00170720" w:rsidRPr="00170720">
        <w:rPr>
          <w:rFonts w:ascii="Times" w:eastAsia="Batang" w:hAnsi="Times"/>
          <w:szCs w:val="20"/>
          <w:lang w:val="en-US" w:eastAsia="ko-KR"/>
        </w:rPr>
        <w:t xml:space="preserve"> </w:t>
      </w:r>
    </w:p>
    <w:p w14:paraId="3F95CF8D" w14:textId="19926FCE" w:rsidR="00874FBE" w:rsidRDefault="007567F6" w:rsidP="00CC7A95">
      <w:pPr>
        <w:spacing w:line="360" w:lineRule="auto"/>
        <w:jc w:val="center"/>
        <w:rPr>
          <w:lang w:eastAsia="ko-KR"/>
        </w:rPr>
      </w:pPr>
      <w:r w:rsidRPr="00D177BF">
        <w:rPr>
          <w:b/>
          <w:noProof/>
          <w:lang w:val="en-GB"/>
        </w:rPr>
        <w:lastRenderedPageBreak/>
        <w:drawing>
          <wp:inline distT="0" distB="0" distL="0" distR="0" wp14:anchorId="21D7E2D7" wp14:editId="6D2F7F92">
            <wp:extent cx="5760000" cy="4449570"/>
            <wp:effectExtent l="0" t="0" r="0" b="8255"/>
            <wp:docPr id="93" name="Picture 93" descr="A collage of images of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collage of images of a dinosau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0" cy="4449570"/>
                    </a:xfrm>
                    <a:prstGeom prst="rect">
                      <a:avLst/>
                    </a:prstGeom>
                    <a:noFill/>
                  </pic:spPr>
                </pic:pic>
              </a:graphicData>
            </a:graphic>
          </wp:inline>
        </w:drawing>
      </w:r>
    </w:p>
    <w:p w14:paraId="1EA921F4" w14:textId="3661F966" w:rsidR="00874FBE" w:rsidRDefault="00CC7A95" w:rsidP="004842ED">
      <w:pPr>
        <w:jc w:val="both"/>
        <w:rPr>
          <w:lang w:eastAsia="ko-KR"/>
        </w:rPr>
      </w:pPr>
      <w:r>
        <w:rPr>
          <w:rFonts w:ascii="Times" w:eastAsia="Batang" w:hAnsi="Times"/>
          <w:b/>
          <w:bCs/>
          <w:szCs w:val="20"/>
          <w:lang w:val="en-US" w:eastAsia="ko-KR"/>
        </w:rPr>
        <w:t xml:space="preserve">Figure </w:t>
      </w:r>
      <w:r w:rsidRPr="003F531F">
        <w:rPr>
          <w:rFonts w:ascii="Times" w:eastAsia="Batang" w:hAnsi="Times"/>
          <w:b/>
          <w:bCs/>
          <w:szCs w:val="20"/>
          <w:lang w:val="en-US" w:eastAsia="ko-KR"/>
        </w:rPr>
        <w:t>S</w:t>
      </w:r>
      <w:r w:rsidR="00D124EA">
        <w:rPr>
          <w:rFonts w:ascii="Times" w:eastAsia="Batang" w:hAnsi="Times"/>
          <w:b/>
          <w:bCs/>
          <w:szCs w:val="20"/>
          <w:lang w:val="en-US" w:eastAsia="ko-KR"/>
        </w:rPr>
        <w:t>3</w:t>
      </w:r>
      <w:r>
        <w:rPr>
          <w:rFonts w:ascii="Times" w:eastAsia="Batang" w:hAnsi="Times"/>
          <w:b/>
          <w:bCs/>
          <w:szCs w:val="20"/>
          <w:lang w:val="en-US" w:eastAsia="ko-KR"/>
        </w:rPr>
        <w:t xml:space="preserve">. </w:t>
      </w:r>
      <w:r w:rsidR="003C3750" w:rsidRPr="003C3750">
        <w:rPr>
          <w:b/>
          <w:bCs/>
          <w:lang w:eastAsia="ko-KR"/>
        </w:rPr>
        <w:t>3D DTI results of adult zebrafish brain, showing coronal, sagittal, and axial slices, acquired at 28.2 T.</w:t>
      </w:r>
      <w:r w:rsidR="003C3750" w:rsidRPr="003C3750">
        <w:rPr>
          <w:lang w:eastAsia="ko-KR"/>
        </w:rPr>
        <w:t xml:space="preserve"> Diffusion tensors were used to calculate the </w:t>
      </w:r>
      <w:r w:rsidR="003C3750" w:rsidRPr="003C3750">
        <w:rPr>
          <w:b/>
          <w:bCs/>
          <w:lang w:eastAsia="ko-KR"/>
        </w:rPr>
        <w:t>[A]</w:t>
      </w:r>
      <w:r w:rsidR="003C3750" w:rsidRPr="003C3750">
        <w:rPr>
          <w:lang w:eastAsia="ko-KR"/>
        </w:rPr>
        <w:t xml:space="preserve"> </w:t>
      </w:r>
      <w:r w:rsidR="003C3750">
        <w:rPr>
          <w:lang w:eastAsia="ko-KR"/>
        </w:rPr>
        <w:t>f</w:t>
      </w:r>
      <w:r w:rsidR="003C3750" w:rsidRPr="003C3750">
        <w:rPr>
          <w:lang w:eastAsia="ko-KR"/>
        </w:rPr>
        <w:t>ractional anisotropy</w:t>
      </w:r>
      <w:r w:rsidR="003C3750">
        <w:rPr>
          <w:lang w:eastAsia="ko-KR"/>
        </w:rPr>
        <w:t xml:space="preserve"> (</w:t>
      </w:r>
      <w:r w:rsidR="003C3750" w:rsidRPr="003C3750">
        <w:rPr>
          <w:i/>
          <w:iCs/>
          <w:lang w:eastAsia="ko-KR"/>
        </w:rPr>
        <w:t>FA</w:t>
      </w:r>
      <w:r w:rsidR="003C3750">
        <w:rPr>
          <w:lang w:eastAsia="ko-KR"/>
        </w:rPr>
        <w:t>)</w:t>
      </w:r>
      <w:r w:rsidR="003C3750" w:rsidRPr="003C3750">
        <w:rPr>
          <w:lang w:eastAsia="ko-KR"/>
        </w:rPr>
        <w:t xml:space="preserve"> and </w:t>
      </w:r>
      <w:r w:rsidR="003C3750" w:rsidRPr="003C3750">
        <w:rPr>
          <w:b/>
          <w:bCs/>
          <w:lang w:eastAsia="ko-KR"/>
        </w:rPr>
        <w:t>[B]</w:t>
      </w:r>
      <w:r w:rsidR="003C3750" w:rsidRPr="003C3750">
        <w:rPr>
          <w:lang w:eastAsia="ko-KR"/>
        </w:rPr>
        <w:t xml:space="preserve"> </w:t>
      </w:r>
      <w:r w:rsidR="003C3750" w:rsidRPr="003C3750">
        <w:rPr>
          <w:i/>
          <w:iCs/>
          <w:lang w:eastAsia="ko-KR"/>
        </w:rPr>
        <w:t>FA</w:t>
      </w:r>
      <w:r w:rsidR="003C3750" w:rsidRPr="003C3750">
        <w:rPr>
          <w:lang w:eastAsia="ko-KR"/>
        </w:rPr>
        <w:t xml:space="preserve"> colour map. Short track (st) tractography with </w:t>
      </w:r>
      <w:r w:rsidR="003C3750">
        <w:rPr>
          <w:lang w:eastAsia="ko-KR"/>
        </w:rPr>
        <w:t>c</w:t>
      </w:r>
      <w:r w:rsidR="003C3750" w:rsidRPr="003C3750">
        <w:rPr>
          <w:lang w:eastAsia="ko-KR"/>
        </w:rPr>
        <w:t xml:space="preserve">onstrained </w:t>
      </w:r>
      <w:r w:rsidR="003C3750">
        <w:rPr>
          <w:lang w:eastAsia="ko-KR"/>
        </w:rPr>
        <w:t>s</w:t>
      </w:r>
      <w:r w:rsidR="003C3750" w:rsidRPr="003C3750">
        <w:rPr>
          <w:lang w:eastAsia="ko-KR"/>
        </w:rPr>
        <w:t xml:space="preserve">pherical </w:t>
      </w:r>
      <w:r w:rsidR="003C3750">
        <w:rPr>
          <w:lang w:eastAsia="ko-KR"/>
        </w:rPr>
        <w:t>d</w:t>
      </w:r>
      <w:r w:rsidR="003C3750" w:rsidRPr="003C3750">
        <w:rPr>
          <w:lang w:eastAsia="ko-KR"/>
        </w:rPr>
        <w:t xml:space="preserve">econvolution (CSD) was applied, comparing two different algorithms for the estimation of the response function. </w:t>
      </w:r>
      <w:r w:rsidR="003C3750" w:rsidRPr="003C3750">
        <w:rPr>
          <w:b/>
          <w:bCs/>
          <w:lang w:eastAsia="ko-KR"/>
        </w:rPr>
        <w:t>[C]</w:t>
      </w:r>
      <w:r w:rsidR="003C3750" w:rsidRPr="003C3750">
        <w:rPr>
          <w:lang w:eastAsia="ko-KR"/>
        </w:rPr>
        <w:t xml:space="preserve"> Super-</w:t>
      </w:r>
      <w:r w:rsidR="003C3750" w:rsidRPr="00C5052C">
        <w:rPr>
          <w:lang w:eastAsia="ko-KR"/>
        </w:rPr>
        <w:t xml:space="preserve">resolution DEC stTDI maps calculated from single-shell single-tissue (ssst) CSD using the tournier algorithm </w:t>
      </w:r>
      <w:r w:rsidR="00921575" w:rsidRPr="00C5052C">
        <w:rPr>
          <w:lang w:eastAsia="ko-KR"/>
        </w:rPr>
        <w:t>[</w:t>
      </w:r>
      <w:r w:rsidR="005C2098" w:rsidRPr="00C5052C">
        <w:rPr>
          <w:lang w:eastAsia="ko-KR"/>
        </w:rPr>
        <w:t>3</w:t>
      </w:r>
      <w:r w:rsidR="00921575" w:rsidRPr="00C5052C">
        <w:rPr>
          <w:lang w:eastAsia="ko-KR"/>
        </w:rPr>
        <w:t>]</w:t>
      </w:r>
      <w:r w:rsidR="003C3750" w:rsidRPr="00C5052C">
        <w:rPr>
          <w:lang w:eastAsia="ko-KR"/>
        </w:rPr>
        <w:t xml:space="preserve"> to estimate the response function. [D] Super-resolution DEC stTDI map calculated from white-matter response function which was estimated by multi shell multi tissue (msmt) CSD using the dHollander algorithm </w:t>
      </w:r>
      <w:r w:rsidR="00BF05BB" w:rsidRPr="00C5052C">
        <w:rPr>
          <w:lang w:eastAsia="ko-KR"/>
        </w:rPr>
        <w:t>[</w:t>
      </w:r>
      <w:r w:rsidR="00343736" w:rsidRPr="00C5052C">
        <w:rPr>
          <w:lang w:eastAsia="ko-KR"/>
        </w:rPr>
        <w:t>4</w:t>
      </w:r>
      <w:r w:rsidR="00BF05BB" w:rsidRPr="00C5052C">
        <w:rPr>
          <w:lang w:eastAsia="ko-KR"/>
        </w:rPr>
        <w:t>]</w:t>
      </w:r>
      <w:r w:rsidR="003C3750" w:rsidRPr="00C5052C">
        <w:rPr>
          <w:lang w:eastAsia="ko-KR"/>
        </w:rPr>
        <w:t>. Tractography</w:t>
      </w:r>
      <w:r w:rsidR="003C3750" w:rsidRPr="003C3750">
        <w:rPr>
          <w:lang w:eastAsia="ko-KR"/>
        </w:rPr>
        <w:t xml:space="preserve"> performed by generating ten million streamlines, with a minimal length of twice the voxel size (70 μm) and a maximum length of ten times the voxel size (350 μm). DEC is used to indicate orientation; green – rostral/caudal, blue – dorsal/ventral, and red – medial/lateral. Acquisition details: </w:t>
      </w:r>
      <w:r w:rsidR="003C3750" w:rsidRPr="00343736">
        <w:rPr>
          <w:i/>
          <w:iCs/>
          <w:lang w:eastAsia="ko-KR"/>
        </w:rPr>
        <w:t>TR</w:t>
      </w:r>
      <w:r w:rsidR="003C3750" w:rsidRPr="003C3750">
        <w:rPr>
          <w:lang w:eastAsia="ko-KR"/>
        </w:rPr>
        <w:t xml:space="preserve"> 2000 ms, </w:t>
      </w:r>
      <w:r w:rsidR="003C3750" w:rsidRPr="00343736">
        <w:rPr>
          <w:i/>
          <w:iCs/>
          <w:lang w:eastAsia="ko-KR"/>
        </w:rPr>
        <w:t>TE</w:t>
      </w:r>
      <w:r w:rsidR="003C3750" w:rsidRPr="003C3750">
        <w:rPr>
          <w:lang w:eastAsia="ko-KR"/>
        </w:rPr>
        <w:t xml:space="preserve"> 9 ms, 4 averages, isotropic resolution 35 μm, effective </w:t>
      </w:r>
      <w:r w:rsidR="003C3750" w:rsidRPr="00BF05BB">
        <w:rPr>
          <w:i/>
          <w:iCs/>
          <w:lang w:eastAsia="ko-KR"/>
        </w:rPr>
        <w:t>b</w:t>
      </w:r>
      <w:r w:rsidR="003C3750" w:rsidRPr="003C3750">
        <w:rPr>
          <w:lang w:eastAsia="ko-KR"/>
        </w:rPr>
        <w:t>-value range 100, 1000, 2500 s/mm</w:t>
      </w:r>
      <w:r w:rsidR="003C3750" w:rsidRPr="00BF05BB">
        <w:rPr>
          <w:vertAlign w:val="superscript"/>
          <w:lang w:eastAsia="ko-KR"/>
        </w:rPr>
        <w:t>2</w:t>
      </w:r>
      <w:r w:rsidR="003C3750" w:rsidRPr="003C3750">
        <w:rPr>
          <w:lang w:eastAsia="ko-KR"/>
        </w:rPr>
        <w:t>, with 4, 12 and 24 directions respectively.</w:t>
      </w:r>
    </w:p>
    <w:p w14:paraId="1C4D1B3F" w14:textId="77777777" w:rsidR="00C60AD8" w:rsidRDefault="00C60AD8" w:rsidP="008F6A1A">
      <w:pPr>
        <w:rPr>
          <w:rFonts w:ascii="Times" w:hAnsi="Times"/>
          <w:sz w:val="18"/>
          <w:szCs w:val="18"/>
        </w:rPr>
      </w:pPr>
    </w:p>
    <w:p w14:paraId="1AF0674F" w14:textId="77777777" w:rsidR="00FF3516" w:rsidRDefault="00FF3516" w:rsidP="008F6A1A">
      <w:pPr>
        <w:rPr>
          <w:rFonts w:ascii="Times" w:hAnsi="Times"/>
          <w:sz w:val="18"/>
          <w:szCs w:val="18"/>
        </w:rPr>
      </w:pPr>
    </w:p>
    <w:p w14:paraId="226E7011" w14:textId="77777777" w:rsidR="00C60AD8" w:rsidRDefault="00C60AD8" w:rsidP="008F6A1A">
      <w:pPr>
        <w:rPr>
          <w:rFonts w:ascii="Times" w:hAnsi="Times"/>
          <w:sz w:val="18"/>
          <w:szCs w:val="18"/>
        </w:rPr>
      </w:pPr>
    </w:p>
    <w:p w14:paraId="04909EF8" w14:textId="2456F41B" w:rsidR="00C60AD8" w:rsidRPr="00FF3516" w:rsidRDefault="00C60AD8" w:rsidP="008F6A1A">
      <w:pPr>
        <w:rPr>
          <w:rFonts w:ascii="Times" w:hAnsi="Times"/>
        </w:rPr>
      </w:pPr>
      <w:r w:rsidRPr="00FF3516">
        <w:rPr>
          <w:rFonts w:ascii="Times" w:hAnsi="Times"/>
        </w:rPr>
        <w:t xml:space="preserve">References </w:t>
      </w:r>
    </w:p>
    <w:p w14:paraId="316491F3" w14:textId="77777777" w:rsidR="0026453A" w:rsidRDefault="0026453A" w:rsidP="0026453A">
      <w:pPr>
        <w:pStyle w:val="MDPI71References"/>
        <w:rPr>
          <w:noProof/>
        </w:rPr>
      </w:pPr>
      <w:r w:rsidRPr="009823A9">
        <w:rPr>
          <w:noProof/>
        </w:rPr>
        <w:t xml:space="preserve">Jeurissen B, Tournier JD, Dhollander T, Connelly A, Sijbers J (2014) Multi-tissue constrained spherical deconvolution for improved analysis of multi-shell diffusion MRI data. </w:t>
      </w:r>
      <w:r w:rsidRPr="009823A9">
        <w:rPr>
          <w:i/>
          <w:noProof/>
        </w:rPr>
        <w:t>Neuroimage</w:t>
      </w:r>
      <w:r w:rsidRPr="009823A9">
        <w:rPr>
          <w:noProof/>
        </w:rPr>
        <w:t xml:space="preserve"> </w:t>
      </w:r>
      <w:r w:rsidRPr="009823A9">
        <w:rPr>
          <w:b/>
          <w:noProof/>
        </w:rPr>
        <w:t>103</w:t>
      </w:r>
      <w:r w:rsidRPr="009823A9">
        <w:rPr>
          <w:noProof/>
        </w:rPr>
        <w:t>, 411-426.</w:t>
      </w:r>
    </w:p>
    <w:p w14:paraId="54D5EE05" w14:textId="77777777" w:rsidR="00533D0C" w:rsidRPr="009823A9" w:rsidRDefault="00533D0C" w:rsidP="00533D0C">
      <w:pPr>
        <w:pStyle w:val="MDPI71References"/>
        <w:rPr>
          <w:noProof/>
        </w:rPr>
      </w:pPr>
      <w:r w:rsidRPr="009823A9">
        <w:rPr>
          <w:noProof/>
        </w:rPr>
        <w:t xml:space="preserve">Jillings S, Morez J, Vidas-Guscic N, Van Audekerke J, Wuyts F, Verhoye M, Sijbers J, Jeurissen B (2020) Multi-tissue constrained spherical deconvolution in a murine brain. </w:t>
      </w:r>
      <w:r w:rsidRPr="009823A9">
        <w:rPr>
          <w:i/>
          <w:noProof/>
        </w:rPr>
        <w:t>Proc. Intl. Soc. Mag. Reson. Med.</w:t>
      </w:r>
      <w:r w:rsidRPr="009823A9">
        <w:rPr>
          <w:noProof/>
        </w:rPr>
        <w:t xml:space="preserve"> </w:t>
      </w:r>
      <w:r w:rsidRPr="009823A9">
        <w:rPr>
          <w:b/>
          <w:noProof/>
        </w:rPr>
        <w:t>28</w:t>
      </w:r>
      <w:r w:rsidRPr="009823A9">
        <w:rPr>
          <w:noProof/>
        </w:rPr>
        <w:t>.</w:t>
      </w:r>
    </w:p>
    <w:p w14:paraId="31943C29" w14:textId="77777777" w:rsidR="005C2098" w:rsidRPr="009823A9" w:rsidRDefault="005C2098" w:rsidP="005C2098">
      <w:pPr>
        <w:pStyle w:val="MDPI71References"/>
        <w:rPr>
          <w:noProof/>
        </w:rPr>
      </w:pPr>
      <w:r w:rsidRPr="009823A9">
        <w:rPr>
          <w:noProof/>
        </w:rPr>
        <w:lastRenderedPageBreak/>
        <w:t xml:space="preserve">Tournier JD, Calamante F, Connelly A (2013) Determination of the appropriate b value and number of gradient directions for high-angular-resolution diffusion-weighted imaging. </w:t>
      </w:r>
      <w:r w:rsidRPr="009823A9">
        <w:rPr>
          <w:i/>
          <w:noProof/>
        </w:rPr>
        <w:t>NMR Biomed</w:t>
      </w:r>
      <w:r w:rsidRPr="009823A9">
        <w:rPr>
          <w:noProof/>
        </w:rPr>
        <w:t xml:space="preserve"> </w:t>
      </w:r>
      <w:r w:rsidRPr="009823A9">
        <w:rPr>
          <w:b/>
          <w:noProof/>
        </w:rPr>
        <w:t>26</w:t>
      </w:r>
      <w:r w:rsidRPr="009823A9">
        <w:rPr>
          <w:noProof/>
        </w:rPr>
        <w:t>, 1775-1786.</w:t>
      </w:r>
    </w:p>
    <w:p w14:paraId="2FA7FCFC" w14:textId="77777777" w:rsidR="00343736" w:rsidRPr="009823A9" w:rsidRDefault="00343736" w:rsidP="00343736">
      <w:pPr>
        <w:pStyle w:val="MDPI71References"/>
        <w:rPr>
          <w:noProof/>
        </w:rPr>
      </w:pPr>
      <w:r w:rsidRPr="009823A9">
        <w:rPr>
          <w:noProof/>
        </w:rPr>
        <w:t xml:space="preserve">Dhollander T, Raffelt D, Connelly A (2016) </w:t>
      </w:r>
      <w:r w:rsidRPr="009823A9">
        <w:rPr>
          <w:i/>
          <w:noProof/>
        </w:rPr>
        <w:t>Unsupervised 3-tissue response function estimation from single-shell or multi-shell diffusion MR data without a co-registered T1 image</w:t>
      </w:r>
      <w:r w:rsidRPr="009823A9">
        <w:rPr>
          <w:noProof/>
        </w:rPr>
        <w:t>.</w:t>
      </w:r>
    </w:p>
    <w:p w14:paraId="09EC99D3" w14:textId="77777777" w:rsidR="00533D0C" w:rsidRPr="009823A9" w:rsidRDefault="00533D0C" w:rsidP="00343736">
      <w:pPr>
        <w:pStyle w:val="MDPI71References"/>
        <w:numPr>
          <w:ilvl w:val="0"/>
          <w:numId w:val="0"/>
        </w:numPr>
        <w:ind w:left="425"/>
        <w:rPr>
          <w:noProof/>
        </w:rPr>
      </w:pPr>
    </w:p>
    <w:p w14:paraId="7F0DF0CC" w14:textId="77777777" w:rsidR="00C60AD8" w:rsidRPr="00343736" w:rsidRDefault="00C60AD8" w:rsidP="008F6A1A">
      <w:pPr>
        <w:rPr>
          <w:rFonts w:ascii="Times" w:hAnsi="Times"/>
          <w:sz w:val="18"/>
          <w:szCs w:val="18"/>
          <w:lang w:val="en-US"/>
        </w:rPr>
      </w:pPr>
    </w:p>
    <w:sectPr w:rsidR="00C60AD8" w:rsidRPr="0034373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w:panose1 w:val="00000500000000020000"/>
    <w:charset w:val="00"/>
    <w:family w:val="auto"/>
    <w:pitch w:val="variable"/>
    <w:sig w:usb0="E00002FF" w:usb1="5000205A"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22172AF"/>
    <w:multiLevelType w:val="hybridMultilevel"/>
    <w:tmpl w:val="17BCEA46"/>
    <w:lvl w:ilvl="0" w:tplc="AB2649D0">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0448300">
    <w:abstractNumId w:val="0"/>
  </w:num>
  <w:num w:numId="2" w16cid:durableId="12160484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96A"/>
    <w:rsid w:val="00004E1E"/>
    <w:rsid w:val="000077E4"/>
    <w:rsid w:val="00010A93"/>
    <w:rsid w:val="00030381"/>
    <w:rsid w:val="00031F5F"/>
    <w:rsid w:val="00037D15"/>
    <w:rsid w:val="00050DDA"/>
    <w:rsid w:val="00051677"/>
    <w:rsid w:val="00055206"/>
    <w:rsid w:val="00055C33"/>
    <w:rsid w:val="00067B94"/>
    <w:rsid w:val="000720AB"/>
    <w:rsid w:val="00076DA7"/>
    <w:rsid w:val="000961E0"/>
    <w:rsid w:val="000C6EA8"/>
    <w:rsid w:val="000D0213"/>
    <w:rsid w:val="000E4029"/>
    <w:rsid w:val="000E5A2A"/>
    <w:rsid w:val="000E5D0B"/>
    <w:rsid w:val="00102918"/>
    <w:rsid w:val="00103AC8"/>
    <w:rsid w:val="001066B8"/>
    <w:rsid w:val="00107900"/>
    <w:rsid w:val="00132A6D"/>
    <w:rsid w:val="00132F64"/>
    <w:rsid w:val="00140799"/>
    <w:rsid w:val="001410DE"/>
    <w:rsid w:val="00141E28"/>
    <w:rsid w:val="001433AB"/>
    <w:rsid w:val="00145CFC"/>
    <w:rsid w:val="00146693"/>
    <w:rsid w:val="00154B95"/>
    <w:rsid w:val="001705F0"/>
    <w:rsid w:val="00170720"/>
    <w:rsid w:val="00176CAF"/>
    <w:rsid w:val="0018182D"/>
    <w:rsid w:val="00185B29"/>
    <w:rsid w:val="00194A4C"/>
    <w:rsid w:val="001962E3"/>
    <w:rsid w:val="00196F94"/>
    <w:rsid w:val="001D1D2D"/>
    <w:rsid w:val="001D3DA5"/>
    <w:rsid w:val="001D7D74"/>
    <w:rsid w:val="001F1ACE"/>
    <w:rsid w:val="00201503"/>
    <w:rsid w:val="00222063"/>
    <w:rsid w:val="0022225C"/>
    <w:rsid w:val="0023500D"/>
    <w:rsid w:val="00240F7C"/>
    <w:rsid w:val="00256F5B"/>
    <w:rsid w:val="0026453A"/>
    <w:rsid w:val="00272CD0"/>
    <w:rsid w:val="0027757D"/>
    <w:rsid w:val="00290D80"/>
    <w:rsid w:val="00293FB4"/>
    <w:rsid w:val="002A3DF5"/>
    <w:rsid w:val="002A6B8D"/>
    <w:rsid w:val="002B024D"/>
    <w:rsid w:val="002B5CEF"/>
    <w:rsid w:val="002C7376"/>
    <w:rsid w:val="002D02E7"/>
    <w:rsid w:val="002D3C5A"/>
    <w:rsid w:val="002D5D16"/>
    <w:rsid w:val="002E321A"/>
    <w:rsid w:val="00304523"/>
    <w:rsid w:val="003055C2"/>
    <w:rsid w:val="00312030"/>
    <w:rsid w:val="0031573D"/>
    <w:rsid w:val="003255E7"/>
    <w:rsid w:val="00335CC3"/>
    <w:rsid w:val="00343736"/>
    <w:rsid w:val="003511B3"/>
    <w:rsid w:val="00352F82"/>
    <w:rsid w:val="00365A00"/>
    <w:rsid w:val="003724FD"/>
    <w:rsid w:val="00381A45"/>
    <w:rsid w:val="003841F3"/>
    <w:rsid w:val="00390B5D"/>
    <w:rsid w:val="00391212"/>
    <w:rsid w:val="003943B2"/>
    <w:rsid w:val="003A09FD"/>
    <w:rsid w:val="003A3526"/>
    <w:rsid w:val="003C3675"/>
    <w:rsid w:val="003C3750"/>
    <w:rsid w:val="003F164C"/>
    <w:rsid w:val="003F531F"/>
    <w:rsid w:val="003F6030"/>
    <w:rsid w:val="003F7E86"/>
    <w:rsid w:val="0040603D"/>
    <w:rsid w:val="004104E7"/>
    <w:rsid w:val="00410E23"/>
    <w:rsid w:val="00426CA3"/>
    <w:rsid w:val="0043195D"/>
    <w:rsid w:val="00434D3A"/>
    <w:rsid w:val="00436285"/>
    <w:rsid w:val="00440395"/>
    <w:rsid w:val="00441F2D"/>
    <w:rsid w:val="00452FDE"/>
    <w:rsid w:val="004617B2"/>
    <w:rsid w:val="0047033A"/>
    <w:rsid w:val="00475F68"/>
    <w:rsid w:val="004842ED"/>
    <w:rsid w:val="00487F0B"/>
    <w:rsid w:val="004A4109"/>
    <w:rsid w:val="004B4962"/>
    <w:rsid w:val="004B6CD1"/>
    <w:rsid w:val="004C205B"/>
    <w:rsid w:val="004C7A93"/>
    <w:rsid w:val="004D0BA9"/>
    <w:rsid w:val="004E2FEA"/>
    <w:rsid w:val="004F02AC"/>
    <w:rsid w:val="004F4C72"/>
    <w:rsid w:val="004F617B"/>
    <w:rsid w:val="00500560"/>
    <w:rsid w:val="005016D2"/>
    <w:rsid w:val="00501E3E"/>
    <w:rsid w:val="0052463C"/>
    <w:rsid w:val="00533D0C"/>
    <w:rsid w:val="005434A0"/>
    <w:rsid w:val="00555682"/>
    <w:rsid w:val="00577DC9"/>
    <w:rsid w:val="00592D77"/>
    <w:rsid w:val="00596158"/>
    <w:rsid w:val="005971E9"/>
    <w:rsid w:val="005C111F"/>
    <w:rsid w:val="005C2098"/>
    <w:rsid w:val="005D2075"/>
    <w:rsid w:val="005E08CC"/>
    <w:rsid w:val="005E4C03"/>
    <w:rsid w:val="005F2AC8"/>
    <w:rsid w:val="00602B89"/>
    <w:rsid w:val="00605515"/>
    <w:rsid w:val="00612E49"/>
    <w:rsid w:val="00621B80"/>
    <w:rsid w:val="0063143B"/>
    <w:rsid w:val="00641304"/>
    <w:rsid w:val="00646EEB"/>
    <w:rsid w:val="0065015F"/>
    <w:rsid w:val="00650B3C"/>
    <w:rsid w:val="00651AF1"/>
    <w:rsid w:val="00663D3E"/>
    <w:rsid w:val="00667C55"/>
    <w:rsid w:val="00673DF7"/>
    <w:rsid w:val="00694F1E"/>
    <w:rsid w:val="006A5034"/>
    <w:rsid w:val="006A6010"/>
    <w:rsid w:val="006B096A"/>
    <w:rsid w:val="006B0B4E"/>
    <w:rsid w:val="006B6BE5"/>
    <w:rsid w:val="006C5200"/>
    <w:rsid w:val="006C7944"/>
    <w:rsid w:val="006D5DF9"/>
    <w:rsid w:val="00705E65"/>
    <w:rsid w:val="00714353"/>
    <w:rsid w:val="0072216C"/>
    <w:rsid w:val="00723E07"/>
    <w:rsid w:val="007266E2"/>
    <w:rsid w:val="007267E7"/>
    <w:rsid w:val="0072701F"/>
    <w:rsid w:val="00730192"/>
    <w:rsid w:val="00732D63"/>
    <w:rsid w:val="007347C8"/>
    <w:rsid w:val="007567F6"/>
    <w:rsid w:val="00765F6A"/>
    <w:rsid w:val="00765FE2"/>
    <w:rsid w:val="007716A3"/>
    <w:rsid w:val="007724A2"/>
    <w:rsid w:val="00792453"/>
    <w:rsid w:val="007A5E31"/>
    <w:rsid w:val="007B330E"/>
    <w:rsid w:val="007B4DAE"/>
    <w:rsid w:val="007B76B8"/>
    <w:rsid w:val="007C11CE"/>
    <w:rsid w:val="007C2F27"/>
    <w:rsid w:val="007C6012"/>
    <w:rsid w:val="007D2E3D"/>
    <w:rsid w:val="007D7374"/>
    <w:rsid w:val="007E0A38"/>
    <w:rsid w:val="007E4916"/>
    <w:rsid w:val="00800BAE"/>
    <w:rsid w:val="00813D8D"/>
    <w:rsid w:val="008177C3"/>
    <w:rsid w:val="00824A91"/>
    <w:rsid w:val="00834B4D"/>
    <w:rsid w:val="008374E6"/>
    <w:rsid w:val="00841AF6"/>
    <w:rsid w:val="008424FB"/>
    <w:rsid w:val="00846443"/>
    <w:rsid w:val="00854256"/>
    <w:rsid w:val="0086591D"/>
    <w:rsid w:val="00874FBE"/>
    <w:rsid w:val="00882A6A"/>
    <w:rsid w:val="008B61D6"/>
    <w:rsid w:val="008C077A"/>
    <w:rsid w:val="008C3F23"/>
    <w:rsid w:val="008C7DA3"/>
    <w:rsid w:val="008D2BF1"/>
    <w:rsid w:val="008E535A"/>
    <w:rsid w:val="008E56B8"/>
    <w:rsid w:val="008F6A1A"/>
    <w:rsid w:val="008F7142"/>
    <w:rsid w:val="00904E3F"/>
    <w:rsid w:val="00914FF5"/>
    <w:rsid w:val="00921575"/>
    <w:rsid w:val="009228BC"/>
    <w:rsid w:val="00924EE3"/>
    <w:rsid w:val="00925E35"/>
    <w:rsid w:val="00940392"/>
    <w:rsid w:val="009453B9"/>
    <w:rsid w:val="0095070B"/>
    <w:rsid w:val="0096719A"/>
    <w:rsid w:val="00995AC0"/>
    <w:rsid w:val="009A25DB"/>
    <w:rsid w:val="009B4B34"/>
    <w:rsid w:val="009B7859"/>
    <w:rsid w:val="009D44D4"/>
    <w:rsid w:val="009F23F2"/>
    <w:rsid w:val="009F2C85"/>
    <w:rsid w:val="00A00609"/>
    <w:rsid w:val="00A01C5B"/>
    <w:rsid w:val="00A04C10"/>
    <w:rsid w:val="00A1771A"/>
    <w:rsid w:val="00A21A59"/>
    <w:rsid w:val="00A2704E"/>
    <w:rsid w:val="00A4329B"/>
    <w:rsid w:val="00A44CC7"/>
    <w:rsid w:val="00A6473A"/>
    <w:rsid w:val="00A64890"/>
    <w:rsid w:val="00A65EBD"/>
    <w:rsid w:val="00A7183F"/>
    <w:rsid w:val="00A92784"/>
    <w:rsid w:val="00A97262"/>
    <w:rsid w:val="00AC2C98"/>
    <w:rsid w:val="00AC6BCE"/>
    <w:rsid w:val="00AD045A"/>
    <w:rsid w:val="00AD4541"/>
    <w:rsid w:val="00AE306F"/>
    <w:rsid w:val="00AE7680"/>
    <w:rsid w:val="00AF329C"/>
    <w:rsid w:val="00AF378A"/>
    <w:rsid w:val="00B72086"/>
    <w:rsid w:val="00B76BC6"/>
    <w:rsid w:val="00B77B2C"/>
    <w:rsid w:val="00B84519"/>
    <w:rsid w:val="00B87164"/>
    <w:rsid w:val="00BA697F"/>
    <w:rsid w:val="00BB0724"/>
    <w:rsid w:val="00BB1AF4"/>
    <w:rsid w:val="00BB2437"/>
    <w:rsid w:val="00BC47BE"/>
    <w:rsid w:val="00BC4CB8"/>
    <w:rsid w:val="00BD1320"/>
    <w:rsid w:val="00BD79FC"/>
    <w:rsid w:val="00BF0573"/>
    <w:rsid w:val="00BF05BB"/>
    <w:rsid w:val="00BF19BC"/>
    <w:rsid w:val="00BF3C4B"/>
    <w:rsid w:val="00BF6EDA"/>
    <w:rsid w:val="00C0709B"/>
    <w:rsid w:val="00C164E9"/>
    <w:rsid w:val="00C24002"/>
    <w:rsid w:val="00C26438"/>
    <w:rsid w:val="00C5052C"/>
    <w:rsid w:val="00C60AD8"/>
    <w:rsid w:val="00C65DCC"/>
    <w:rsid w:val="00C664B1"/>
    <w:rsid w:val="00C67030"/>
    <w:rsid w:val="00C861E1"/>
    <w:rsid w:val="00C86555"/>
    <w:rsid w:val="00C95345"/>
    <w:rsid w:val="00CA0AF9"/>
    <w:rsid w:val="00CC6AD0"/>
    <w:rsid w:val="00CC7A95"/>
    <w:rsid w:val="00CD0E17"/>
    <w:rsid w:val="00CE421B"/>
    <w:rsid w:val="00CF2037"/>
    <w:rsid w:val="00D04C00"/>
    <w:rsid w:val="00D07D73"/>
    <w:rsid w:val="00D11A96"/>
    <w:rsid w:val="00D124EA"/>
    <w:rsid w:val="00D23642"/>
    <w:rsid w:val="00D242DF"/>
    <w:rsid w:val="00D334E3"/>
    <w:rsid w:val="00D34579"/>
    <w:rsid w:val="00D37FFD"/>
    <w:rsid w:val="00D53170"/>
    <w:rsid w:val="00D53D0C"/>
    <w:rsid w:val="00D61716"/>
    <w:rsid w:val="00D65C81"/>
    <w:rsid w:val="00D70B6E"/>
    <w:rsid w:val="00D71954"/>
    <w:rsid w:val="00D909A9"/>
    <w:rsid w:val="00DA104B"/>
    <w:rsid w:val="00DA27AD"/>
    <w:rsid w:val="00DB175D"/>
    <w:rsid w:val="00DC09D6"/>
    <w:rsid w:val="00DC42E0"/>
    <w:rsid w:val="00DC780C"/>
    <w:rsid w:val="00DE39EB"/>
    <w:rsid w:val="00DE5B49"/>
    <w:rsid w:val="00E0206D"/>
    <w:rsid w:val="00E62CA9"/>
    <w:rsid w:val="00E63129"/>
    <w:rsid w:val="00E659E2"/>
    <w:rsid w:val="00E71E08"/>
    <w:rsid w:val="00E722AA"/>
    <w:rsid w:val="00E86861"/>
    <w:rsid w:val="00E96E07"/>
    <w:rsid w:val="00EA068C"/>
    <w:rsid w:val="00ED01FE"/>
    <w:rsid w:val="00ED407C"/>
    <w:rsid w:val="00EE313D"/>
    <w:rsid w:val="00EE6DC9"/>
    <w:rsid w:val="00EF6F8E"/>
    <w:rsid w:val="00F00361"/>
    <w:rsid w:val="00F01C79"/>
    <w:rsid w:val="00F103F7"/>
    <w:rsid w:val="00F11289"/>
    <w:rsid w:val="00F13D75"/>
    <w:rsid w:val="00F13E9E"/>
    <w:rsid w:val="00F267C5"/>
    <w:rsid w:val="00F416D1"/>
    <w:rsid w:val="00F50DE3"/>
    <w:rsid w:val="00F66515"/>
    <w:rsid w:val="00F66609"/>
    <w:rsid w:val="00F72FA8"/>
    <w:rsid w:val="00F75FB2"/>
    <w:rsid w:val="00F821F7"/>
    <w:rsid w:val="00F86E54"/>
    <w:rsid w:val="00F90648"/>
    <w:rsid w:val="00FB060B"/>
    <w:rsid w:val="00FB1080"/>
    <w:rsid w:val="00FB457E"/>
    <w:rsid w:val="00FC3DBA"/>
    <w:rsid w:val="00FC4079"/>
    <w:rsid w:val="00FC7F23"/>
    <w:rsid w:val="00FD143F"/>
    <w:rsid w:val="00FD4EA5"/>
    <w:rsid w:val="00FE4D86"/>
    <w:rsid w:val="00FE69EF"/>
    <w:rsid w:val="00FF3516"/>
    <w:rsid w:val="00FF4A8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99EA9"/>
  <w15:chartTrackingRefBased/>
  <w15:docId w15:val="{A1B0EBD0-047F-B545-B6E6-493AEC515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CA"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73D"/>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Title">
    <w:name w:val="BA_Title"/>
    <w:basedOn w:val="Normal"/>
    <w:next w:val="BBAuthorName"/>
    <w:rsid w:val="006B096A"/>
    <w:pPr>
      <w:spacing w:before="720" w:after="360" w:line="480" w:lineRule="auto"/>
      <w:jc w:val="center"/>
    </w:pPr>
    <w:rPr>
      <w:rFonts w:eastAsia="Batang"/>
      <w:sz w:val="44"/>
      <w:szCs w:val="20"/>
      <w:lang w:val="en-US" w:eastAsia="en-US"/>
    </w:rPr>
  </w:style>
  <w:style w:type="paragraph" w:customStyle="1" w:styleId="BBAuthorName">
    <w:name w:val="BB_Author_Name"/>
    <w:basedOn w:val="Normal"/>
    <w:next w:val="BCAuthorAddress"/>
    <w:rsid w:val="006B096A"/>
    <w:pPr>
      <w:spacing w:after="240" w:line="480" w:lineRule="auto"/>
      <w:jc w:val="center"/>
    </w:pPr>
    <w:rPr>
      <w:rFonts w:ascii="Times" w:eastAsia="Batang" w:hAnsi="Times"/>
      <w:i/>
      <w:szCs w:val="20"/>
      <w:lang w:val="en-US" w:eastAsia="en-US"/>
    </w:rPr>
  </w:style>
  <w:style w:type="paragraph" w:customStyle="1" w:styleId="BCAuthorAddress">
    <w:name w:val="BC_Author_Address"/>
    <w:basedOn w:val="Normal"/>
    <w:next w:val="Normal"/>
    <w:rsid w:val="006B096A"/>
    <w:pPr>
      <w:spacing w:after="240" w:line="480" w:lineRule="auto"/>
      <w:jc w:val="center"/>
    </w:pPr>
    <w:rPr>
      <w:rFonts w:ascii="Times" w:eastAsia="Batang" w:hAnsi="Times"/>
      <w:szCs w:val="20"/>
      <w:lang w:val="en-US" w:eastAsia="en-US"/>
    </w:rPr>
  </w:style>
  <w:style w:type="paragraph" w:customStyle="1" w:styleId="FACorrespondingAuthorFootnote">
    <w:name w:val="FA_Corresponding_Author_Footnote"/>
    <w:basedOn w:val="Normal"/>
    <w:next w:val="Normal"/>
    <w:rsid w:val="006B096A"/>
    <w:pPr>
      <w:spacing w:after="200" w:line="480" w:lineRule="auto"/>
      <w:jc w:val="both"/>
    </w:pPr>
    <w:rPr>
      <w:rFonts w:ascii="Times" w:eastAsia="Batang" w:hAnsi="Times"/>
      <w:szCs w:val="20"/>
      <w:lang w:val="en-US" w:eastAsia="en-US"/>
    </w:rPr>
  </w:style>
  <w:style w:type="character" w:styleId="Hyperlink">
    <w:name w:val="Hyperlink"/>
    <w:basedOn w:val="DefaultParagraphFont"/>
    <w:uiPriority w:val="99"/>
    <w:unhideWhenUsed/>
    <w:rsid w:val="006B096A"/>
    <w:rPr>
      <w:color w:val="0563C1" w:themeColor="hyperlink"/>
      <w:u w:val="single"/>
    </w:rPr>
  </w:style>
  <w:style w:type="character" w:styleId="UnresolvedMention">
    <w:name w:val="Unresolved Mention"/>
    <w:basedOn w:val="DefaultParagraphFont"/>
    <w:uiPriority w:val="99"/>
    <w:semiHidden/>
    <w:unhideWhenUsed/>
    <w:rsid w:val="006B096A"/>
    <w:rPr>
      <w:color w:val="605E5C"/>
      <w:shd w:val="clear" w:color="auto" w:fill="E1DFDD"/>
    </w:rPr>
  </w:style>
  <w:style w:type="table" w:customStyle="1" w:styleId="TableGrid1">
    <w:name w:val="Table Grid1"/>
    <w:basedOn w:val="TableNormal"/>
    <w:next w:val="TableGrid"/>
    <w:uiPriority w:val="39"/>
    <w:rsid w:val="009453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453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7183F"/>
    <w:rPr>
      <w:sz w:val="16"/>
      <w:szCs w:val="16"/>
    </w:rPr>
  </w:style>
  <w:style w:type="paragraph" w:styleId="CommentText">
    <w:name w:val="annotation text"/>
    <w:basedOn w:val="Normal"/>
    <w:link w:val="CommentTextChar"/>
    <w:uiPriority w:val="99"/>
    <w:semiHidden/>
    <w:unhideWhenUsed/>
    <w:rsid w:val="00A7183F"/>
    <w:rPr>
      <w:rFonts w:asciiTheme="minorHAnsi" w:eastAsiaTheme="minorEastAsia" w:hAnsiTheme="minorHAnsi" w:cstheme="minorBidi"/>
      <w:kern w:val="2"/>
      <w:sz w:val="20"/>
      <w:szCs w:val="20"/>
      <w14:ligatures w14:val="standardContextual"/>
    </w:rPr>
  </w:style>
  <w:style w:type="character" w:customStyle="1" w:styleId="CommentTextChar">
    <w:name w:val="Comment Text Char"/>
    <w:basedOn w:val="DefaultParagraphFont"/>
    <w:link w:val="CommentText"/>
    <w:uiPriority w:val="99"/>
    <w:semiHidden/>
    <w:rsid w:val="00A7183F"/>
    <w:rPr>
      <w:sz w:val="20"/>
      <w:szCs w:val="20"/>
    </w:rPr>
  </w:style>
  <w:style w:type="paragraph" w:styleId="CommentSubject">
    <w:name w:val="annotation subject"/>
    <w:basedOn w:val="CommentText"/>
    <w:next w:val="CommentText"/>
    <w:link w:val="CommentSubjectChar"/>
    <w:uiPriority w:val="99"/>
    <w:semiHidden/>
    <w:unhideWhenUsed/>
    <w:rsid w:val="00A7183F"/>
    <w:rPr>
      <w:b/>
      <w:bCs/>
    </w:rPr>
  </w:style>
  <w:style w:type="character" w:customStyle="1" w:styleId="CommentSubjectChar">
    <w:name w:val="Comment Subject Char"/>
    <w:basedOn w:val="CommentTextChar"/>
    <w:link w:val="CommentSubject"/>
    <w:uiPriority w:val="99"/>
    <w:semiHidden/>
    <w:rsid w:val="00A7183F"/>
    <w:rPr>
      <w:b/>
      <w:bCs/>
      <w:sz w:val="20"/>
      <w:szCs w:val="20"/>
    </w:rPr>
  </w:style>
  <w:style w:type="paragraph" w:customStyle="1" w:styleId="TCTableBody">
    <w:name w:val="TC_Table_Body"/>
    <w:basedOn w:val="Normal"/>
    <w:rsid w:val="008E56B8"/>
    <w:pPr>
      <w:spacing w:after="200"/>
      <w:jc w:val="both"/>
    </w:pPr>
    <w:rPr>
      <w:rFonts w:ascii="Times" w:eastAsia="Batang" w:hAnsi="Times"/>
      <w:szCs w:val="20"/>
      <w:lang w:val="en-US" w:eastAsia="en-US"/>
    </w:rPr>
  </w:style>
  <w:style w:type="paragraph" w:styleId="NormalWeb">
    <w:name w:val="Normal (Web)"/>
    <w:basedOn w:val="Normal"/>
    <w:uiPriority w:val="99"/>
    <w:semiHidden/>
    <w:unhideWhenUsed/>
    <w:rsid w:val="00A04C10"/>
  </w:style>
  <w:style w:type="paragraph" w:customStyle="1" w:styleId="MDPI13authornames">
    <w:name w:val="MDPI_1.3_authornames"/>
    <w:next w:val="Normal"/>
    <w:qFormat/>
    <w:rsid w:val="00E0206D"/>
    <w:pPr>
      <w:adjustRightInd w:val="0"/>
      <w:snapToGrid w:val="0"/>
      <w:spacing w:after="360" w:line="260" w:lineRule="atLeast"/>
    </w:pPr>
    <w:rPr>
      <w:rFonts w:ascii="Palatino Linotype" w:eastAsia="Times New Roman" w:hAnsi="Palatino Linotype" w:cs="Times New Roman"/>
      <w:b/>
      <w:color w:val="000000"/>
      <w:kern w:val="0"/>
      <w:sz w:val="20"/>
      <w:szCs w:val="22"/>
      <w:lang w:val="en-US" w:eastAsia="de-DE" w:bidi="en-US"/>
      <w14:ligatures w14:val="none"/>
    </w:rPr>
  </w:style>
  <w:style w:type="paragraph" w:customStyle="1" w:styleId="MDPI16affiliation">
    <w:name w:val="MDPI_1.6_affiliation"/>
    <w:qFormat/>
    <w:rsid w:val="00E0206D"/>
    <w:pPr>
      <w:adjustRightInd w:val="0"/>
      <w:snapToGrid w:val="0"/>
      <w:spacing w:line="200" w:lineRule="atLeast"/>
      <w:ind w:left="2806" w:hanging="198"/>
    </w:pPr>
    <w:rPr>
      <w:rFonts w:ascii="Palatino Linotype" w:eastAsia="Times New Roman" w:hAnsi="Palatino Linotype" w:cs="Times New Roman"/>
      <w:color w:val="000000"/>
      <w:kern w:val="0"/>
      <w:sz w:val="16"/>
      <w:szCs w:val="18"/>
      <w:lang w:val="en-US" w:eastAsia="de-DE" w:bidi="en-US"/>
      <w14:ligatures w14:val="none"/>
    </w:rPr>
  </w:style>
  <w:style w:type="paragraph" w:customStyle="1" w:styleId="MDPI21heading1">
    <w:name w:val="MDPI_2.1_heading1"/>
    <w:qFormat/>
    <w:rsid w:val="00E0206D"/>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kern w:val="0"/>
      <w:sz w:val="20"/>
      <w:szCs w:val="22"/>
      <w:lang w:val="en-US" w:eastAsia="de-DE" w:bidi="en-US"/>
      <w14:ligatures w14:val="none"/>
    </w:rPr>
  </w:style>
  <w:style w:type="paragraph" w:customStyle="1" w:styleId="MDPI71References">
    <w:name w:val="MDPI_7.1_References"/>
    <w:qFormat/>
    <w:rsid w:val="00C60AD8"/>
    <w:pPr>
      <w:numPr>
        <w:numId w:val="2"/>
      </w:numPr>
      <w:adjustRightInd w:val="0"/>
      <w:snapToGrid w:val="0"/>
      <w:spacing w:line="228" w:lineRule="auto"/>
      <w:jc w:val="both"/>
    </w:pPr>
    <w:rPr>
      <w:rFonts w:ascii="Palatino Linotype" w:eastAsia="Times New Roman" w:hAnsi="Palatino Linotype" w:cs="Times New Roman"/>
      <w:color w:val="000000"/>
      <w:kern w:val="0"/>
      <w:sz w:val="18"/>
      <w:szCs w:val="20"/>
      <w:lang w:val="en-US" w:eastAsia="de-DE"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80440">
      <w:bodyDiv w:val="1"/>
      <w:marLeft w:val="0"/>
      <w:marRight w:val="0"/>
      <w:marTop w:val="0"/>
      <w:marBottom w:val="0"/>
      <w:divBdr>
        <w:top w:val="none" w:sz="0" w:space="0" w:color="auto"/>
        <w:left w:val="none" w:sz="0" w:space="0" w:color="auto"/>
        <w:bottom w:val="none" w:sz="0" w:space="0" w:color="auto"/>
        <w:right w:val="none" w:sz="0" w:space="0" w:color="auto"/>
      </w:divBdr>
    </w:div>
    <w:div w:id="124201256">
      <w:bodyDiv w:val="1"/>
      <w:marLeft w:val="0"/>
      <w:marRight w:val="0"/>
      <w:marTop w:val="0"/>
      <w:marBottom w:val="0"/>
      <w:divBdr>
        <w:top w:val="none" w:sz="0" w:space="0" w:color="auto"/>
        <w:left w:val="none" w:sz="0" w:space="0" w:color="auto"/>
        <w:bottom w:val="none" w:sz="0" w:space="0" w:color="auto"/>
        <w:right w:val="none" w:sz="0" w:space="0" w:color="auto"/>
      </w:divBdr>
    </w:div>
    <w:div w:id="127477148">
      <w:bodyDiv w:val="1"/>
      <w:marLeft w:val="0"/>
      <w:marRight w:val="0"/>
      <w:marTop w:val="0"/>
      <w:marBottom w:val="0"/>
      <w:divBdr>
        <w:top w:val="none" w:sz="0" w:space="0" w:color="auto"/>
        <w:left w:val="none" w:sz="0" w:space="0" w:color="auto"/>
        <w:bottom w:val="none" w:sz="0" w:space="0" w:color="auto"/>
        <w:right w:val="none" w:sz="0" w:space="0" w:color="auto"/>
      </w:divBdr>
    </w:div>
    <w:div w:id="190805784">
      <w:bodyDiv w:val="1"/>
      <w:marLeft w:val="0"/>
      <w:marRight w:val="0"/>
      <w:marTop w:val="0"/>
      <w:marBottom w:val="0"/>
      <w:divBdr>
        <w:top w:val="none" w:sz="0" w:space="0" w:color="auto"/>
        <w:left w:val="none" w:sz="0" w:space="0" w:color="auto"/>
        <w:bottom w:val="none" w:sz="0" w:space="0" w:color="auto"/>
        <w:right w:val="none" w:sz="0" w:space="0" w:color="auto"/>
      </w:divBdr>
    </w:div>
    <w:div w:id="449863629">
      <w:bodyDiv w:val="1"/>
      <w:marLeft w:val="0"/>
      <w:marRight w:val="0"/>
      <w:marTop w:val="0"/>
      <w:marBottom w:val="0"/>
      <w:divBdr>
        <w:top w:val="none" w:sz="0" w:space="0" w:color="auto"/>
        <w:left w:val="none" w:sz="0" w:space="0" w:color="auto"/>
        <w:bottom w:val="none" w:sz="0" w:space="0" w:color="auto"/>
        <w:right w:val="none" w:sz="0" w:space="0" w:color="auto"/>
      </w:divBdr>
    </w:div>
    <w:div w:id="522981941">
      <w:bodyDiv w:val="1"/>
      <w:marLeft w:val="0"/>
      <w:marRight w:val="0"/>
      <w:marTop w:val="0"/>
      <w:marBottom w:val="0"/>
      <w:divBdr>
        <w:top w:val="none" w:sz="0" w:space="0" w:color="auto"/>
        <w:left w:val="none" w:sz="0" w:space="0" w:color="auto"/>
        <w:bottom w:val="none" w:sz="0" w:space="0" w:color="auto"/>
        <w:right w:val="none" w:sz="0" w:space="0" w:color="auto"/>
      </w:divBdr>
    </w:div>
    <w:div w:id="602687491">
      <w:bodyDiv w:val="1"/>
      <w:marLeft w:val="0"/>
      <w:marRight w:val="0"/>
      <w:marTop w:val="0"/>
      <w:marBottom w:val="0"/>
      <w:divBdr>
        <w:top w:val="none" w:sz="0" w:space="0" w:color="auto"/>
        <w:left w:val="none" w:sz="0" w:space="0" w:color="auto"/>
        <w:bottom w:val="none" w:sz="0" w:space="0" w:color="auto"/>
        <w:right w:val="none" w:sz="0" w:space="0" w:color="auto"/>
      </w:divBdr>
    </w:div>
    <w:div w:id="627661546">
      <w:bodyDiv w:val="1"/>
      <w:marLeft w:val="0"/>
      <w:marRight w:val="0"/>
      <w:marTop w:val="0"/>
      <w:marBottom w:val="0"/>
      <w:divBdr>
        <w:top w:val="none" w:sz="0" w:space="0" w:color="auto"/>
        <w:left w:val="none" w:sz="0" w:space="0" w:color="auto"/>
        <w:bottom w:val="none" w:sz="0" w:space="0" w:color="auto"/>
        <w:right w:val="none" w:sz="0" w:space="0" w:color="auto"/>
      </w:divBdr>
    </w:div>
    <w:div w:id="943027748">
      <w:bodyDiv w:val="1"/>
      <w:marLeft w:val="0"/>
      <w:marRight w:val="0"/>
      <w:marTop w:val="0"/>
      <w:marBottom w:val="0"/>
      <w:divBdr>
        <w:top w:val="none" w:sz="0" w:space="0" w:color="auto"/>
        <w:left w:val="none" w:sz="0" w:space="0" w:color="auto"/>
        <w:bottom w:val="none" w:sz="0" w:space="0" w:color="auto"/>
        <w:right w:val="none" w:sz="0" w:space="0" w:color="auto"/>
      </w:divBdr>
    </w:div>
    <w:div w:id="1216235205">
      <w:bodyDiv w:val="1"/>
      <w:marLeft w:val="0"/>
      <w:marRight w:val="0"/>
      <w:marTop w:val="0"/>
      <w:marBottom w:val="0"/>
      <w:divBdr>
        <w:top w:val="none" w:sz="0" w:space="0" w:color="auto"/>
        <w:left w:val="none" w:sz="0" w:space="0" w:color="auto"/>
        <w:bottom w:val="none" w:sz="0" w:space="0" w:color="auto"/>
        <w:right w:val="none" w:sz="0" w:space="0" w:color="auto"/>
      </w:divBdr>
    </w:div>
    <w:div w:id="1238369830">
      <w:bodyDiv w:val="1"/>
      <w:marLeft w:val="0"/>
      <w:marRight w:val="0"/>
      <w:marTop w:val="0"/>
      <w:marBottom w:val="0"/>
      <w:divBdr>
        <w:top w:val="none" w:sz="0" w:space="0" w:color="auto"/>
        <w:left w:val="none" w:sz="0" w:space="0" w:color="auto"/>
        <w:bottom w:val="none" w:sz="0" w:space="0" w:color="auto"/>
        <w:right w:val="none" w:sz="0" w:space="0" w:color="auto"/>
      </w:divBdr>
    </w:div>
    <w:div w:id="1265917229">
      <w:bodyDiv w:val="1"/>
      <w:marLeft w:val="0"/>
      <w:marRight w:val="0"/>
      <w:marTop w:val="0"/>
      <w:marBottom w:val="0"/>
      <w:divBdr>
        <w:top w:val="none" w:sz="0" w:space="0" w:color="auto"/>
        <w:left w:val="none" w:sz="0" w:space="0" w:color="auto"/>
        <w:bottom w:val="none" w:sz="0" w:space="0" w:color="auto"/>
        <w:right w:val="none" w:sz="0" w:space="0" w:color="auto"/>
      </w:divBdr>
    </w:div>
    <w:div w:id="1296446234">
      <w:bodyDiv w:val="1"/>
      <w:marLeft w:val="0"/>
      <w:marRight w:val="0"/>
      <w:marTop w:val="0"/>
      <w:marBottom w:val="0"/>
      <w:divBdr>
        <w:top w:val="none" w:sz="0" w:space="0" w:color="auto"/>
        <w:left w:val="none" w:sz="0" w:space="0" w:color="auto"/>
        <w:bottom w:val="none" w:sz="0" w:space="0" w:color="auto"/>
        <w:right w:val="none" w:sz="0" w:space="0" w:color="auto"/>
      </w:divBdr>
    </w:div>
    <w:div w:id="1321426798">
      <w:bodyDiv w:val="1"/>
      <w:marLeft w:val="0"/>
      <w:marRight w:val="0"/>
      <w:marTop w:val="0"/>
      <w:marBottom w:val="0"/>
      <w:divBdr>
        <w:top w:val="none" w:sz="0" w:space="0" w:color="auto"/>
        <w:left w:val="none" w:sz="0" w:space="0" w:color="auto"/>
        <w:bottom w:val="none" w:sz="0" w:space="0" w:color="auto"/>
        <w:right w:val="none" w:sz="0" w:space="0" w:color="auto"/>
      </w:divBdr>
    </w:div>
    <w:div w:id="1416633161">
      <w:bodyDiv w:val="1"/>
      <w:marLeft w:val="0"/>
      <w:marRight w:val="0"/>
      <w:marTop w:val="0"/>
      <w:marBottom w:val="0"/>
      <w:divBdr>
        <w:top w:val="none" w:sz="0" w:space="0" w:color="auto"/>
        <w:left w:val="none" w:sz="0" w:space="0" w:color="auto"/>
        <w:bottom w:val="none" w:sz="0" w:space="0" w:color="auto"/>
        <w:right w:val="none" w:sz="0" w:space="0" w:color="auto"/>
      </w:divBdr>
    </w:div>
    <w:div w:id="1429279546">
      <w:bodyDiv w:val="1"/>
      <w:marLeft w:val="0"/>
      <w:marRight w:val="0"/>
      <w:marTop w:val="0"/>
      <w:marBottom w:val="0"/>
      <w:divBdr>
        <w:top w:val="none" w:sz="0" w:space="0" w:color="auto"/>
        <w:left w:val="none" w:sz="0" w:space="0" w:color="auto"/>
        <w:bottom w:val="none" w:sz="0" w:space="0" w:color="auto"/>
        <w:right w:val="none" w:sz="0" w:space="0" w:color="auto"/>
      </w:divBdr>
    </w:div>
    <w:div w:id="1494489852">
      <w:bodyDiv w:val="1"/>
      <w:marLeft w:val="0"/>
      <w:marRight w:val="0"/>
      <w:marTop w:val="0"/>
      <w:marBottom w:val="0"/>
      <w:divBdr>
        <w:top w:val="none" w:sz="0" w:space="0" w:color="auto"/>
        <w:left w:val="none" w:sz="0" w:space="0" w:color="auto"/>
        <w:bottom w:val="none" w:sz="0" w:space="0" w:color="auto"/>
        <w:right w:val="none" w:sz="0" w:space="0" w:color="auto"/>
      </w:divBdr>
    </w:div>
    <w:div w:id="1554460036">
      <w:bodyDiv w:val="1"/>
      <w:marLeft w:val="0"/>
      <w:marRight w:val="0"/>
      <w:marTop w:val="0"/>
      <w:marBottom w:val="0"/>
      <w:divBdr>
        <w:top w:val="none" w:sz="0" w:space="0" w:color="auto"/>
        <w:left w:val="none" w:sz="0" w:space="0" w:color="auto"/>
        <w:bottom w:val="none" w:sz="0" w:space="0" w:color="auto"/>
        <w:right w:val="none" w:sz="0" w:space="0" w:color="auto"/>
      </w:divBdr>
    </w:div>
    <w:div w:id="1555311671">
      <w:bodyDiv w:val="1"/>
      <w:marLeft w:val="0"/>
      <w:marRight w:val="0"/>
      <w:marTop w:val="0"/>
      <w:marBottom w:val="0"/>
      <w:divBdr>
        <w:top w:val="none" w:sz="0" w:space="0" w:color="auto"/>
        <w:left w:val="none" w:sz="0" w:space="0" w:color="auto"/>
        <w:bottom w:val="none" w:sz="0" w:space="0" w:color="auto"/>
        <w:right w:val="none" w:sz="0" w:space="0" w:color="auto"/>
      </w:divBdr>
    </w:div>
    <w:div w:id="1606116647">
      <w:bodyDiv w:val="1"/>
      <w:marLeft w:val="0"/>
      <w:marRight w:val="0"/>
      <w:marTop w:val="0"/>
      <w:marBottom w:val="0"/>
      <w:divBdr>
        <w:top w:val="none" w:sz="0" w:space="0" w:color="auto"/>
        <w:left w:val="none" w:sz="0" w:space="0" w:color="auto"/>
        <w:bottom w:val="none" w:sz="0" w:space="0" w:color="auto"/>
        <w:right w:val="none" w:sz="0" w:space="0" w:color="auto"/>
      </w:divBdr>
    </w:div>
    <w:div w:id="1628389232">
      <w:bodyDiv w:val="1"/>
      <w:marLeft w:val="0"/>
      <w:marRight w:val="0"/>
      <w:marTop w:val="0"/>
      <w:marBottom w:val="0"/>
      <w:divBdr>
        <w:top w:val="none" w:sz="0" w:space="0" w:color="auto"/>
        <w:left w:val="none" w:sz="0" w:space="0" w:color="auto"/>
        <w:bottom w:val="none" w:sz="0" w:space="0" w:color="auto"/>
        <w:right w:val="none" w:sz="0" w:space="0" w:color="auto"/>
      </w:divBdr>
    </w:div>
    <w:div w:id="1668090060">
      <w:bodyDiv w:val="1"/>
      <w:marLeft w:val="0"/>
      <w:marRight w:val="0"/>
      <w:marTop w:val="0"/>
      <w:marBottom w:val="0"/>
      <w:divBdr>
        <w:top w:val="none" w:sz="0" w:space="0" w:color="auto"/>
        <w:left w:val="none" w:sz="0" w:space="0" w:color="auto"/>
        <w:bottom w:val="none" w:sz="0" w:space="0" w:color="auto"/>
        <w:right w:val="none" w:sz="0" w:space="0" w:color="auto"/>
      </w:divBdr>
    </w:div>
    <w:div w:id="1766415735">
      <w:bodyDiv w:val="1"/>
      <w:marLeft w:val="0"/>
      <w:marRight w:val="0"/>
      <w:marTop w:val="0"/>
      <w:marBottom w:val="0"/>
      <w:divBdr>
        <w:top w:val="none" w:sz="0" w:space="0" w:color="auto"/>
        <w:left w:val="none" w:sz="0" w:space="0" w:color="auto"/>
        <w:bottom w:val="none" w:sz="0" w:space="0" w:color="auto"/>
        <w:right w:val="none" w:sz="0" w:space="0" w:color="auto"/>
      </w:divBdr>
    </w:div>
    <w:div w:id="1827546488">
      <w:bodyDiv w:val="1"/>
      <w:marLeft w:val="0"/>
      <w:marRight w:val="0"/>
      <w:marTop w:val="0"/>
      <w:marBottom w:val="0"/>
      <w:divBdr>
        <w:top w:val="none" w:sz="0" w:space="0" w:color="auto"/>
        <w:left w:val="none" w:sz="0" w:space="0" w:color="auto"/>
        <w:bottom w:val="none" w:sz="0" w:space="0" w:color="auto"/>
        <w:right w:val="none" w:sz="0" w:space="0" w:color="auto"/>
      </w:divBdr>
    </w:div>
    <w:div w:id="1874921029">
      <w:bodyDiv w:val="1"/>
      <w:marLeft w:val="0"/>
      <w:marRight w:val="0"/>
      <w:marTop w:val="0"/>
      <w:marBottom w:val="0"/>
      <w:divBdr>
        <w:top w:val="none" w:sz="0" w:space="0" w:color="auto"/>
        <w:left w:val="none" w:sz="0" w:space="0" w:color="auto"/>
        <w:bottom w:val="none" w:sz="0" w:space="0" w:color="auto"/>
        <w:right w:val="none" w:sz="0" w:space="0" w:color="auto"/>
      </w:divBdr>
    </w:div>
    <w:div w:id="2034500060">
      <w:bodyDiv w:val="1"/>
      <w:marLeft w:val="0"/>
      <w:marRight w:val="0"/>
      <w:marTop w:val="0"/>
      <w:marBottom w:val="0"/>
      <w:divBdr>
        <w:top w:val="none" w:sz="0" w:space="0" w:color="auto"/>
        <w:left w:val="none" w:sz="0" w:space="0" w:color="auto"/>
        <w:bottom w:val="none" w:sz="0" w:space="0" w:color="auto"/>
        <w:right w:val="none" w:sz="0" w:space="0" w:color="auto"/>
      </w:divBdr>
    </w:div>
    <w:div w:id="2036425670">
      <w:bodyDiv w:val="1"/>
      <w:marLeft w:val="0"/>
      <w:marRight w:val="0"/>
      <w:marTop w:val="0"/>
      <w:marBottom w:val="0"/>
      <w:divBdr>
        <w:top w:val="none" w:sz="0" w:space="0" w:color="auto"/>
        <w:left w:val="none" w:sz="0" w:space="0" w:color="auto"/>
        <w:bottom w:val="none" w:sz="0" w:space="0" w:color="auto"/>
        <w:right w:val="none" w:sz="0" w:space="0" w:color="auto"/>
      </w:divBdr>
    </w:div>
    <w:div w:id="2096128593">
      <w:bodyDiv w:val="1"/>
      <w:marLeft w:val="0"/>
      <w:marRight w:val="0"/>
      <w:marTop w:val="0"/>
      <w:marBottom w:val="0"/>
      <w:divBdr>
        <w:top w:val="none" w:sz="0" w:space="0" w:color="auto"/>
        <w:left w:val="none" w:sz="0" w:space="0" w:color="auto"/>
        <w:bottom w:val="none" w:sz="0" w:space="0" w:color="auto"/>
        <w:right w:val="none" w:sz="0" w:space="0" w:color="auto"/>
      </w:divBdr>
    </w:div>
    <w:div w:id="210908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CE5BA-D0EA-FC4D-B6BB-63995E4BF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1035</Words>
  <Characters>5901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Yunmi Kim</dc:creator>
  <cp:keywords/>
  <dc:description/>
  <cp:lastModifiedBy>a.alia@chem.leidenuniv.nl</cp:lastModifiedBy>
  <cp:revision>35</cp:revision>
  <cp:lastPrinted>2023-11-02T13:25:00Z</cp:lastPrinted>
  <dcterms:created xsi:type="dcterms:W3CDTF">2024-04-15T13:32:00Z</dcterms:created>
  <dcterms:modified xsi:type="dcterms:W3CDTF">2024-08-27T09:10:00Z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9th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http://csl.mendeley.com/styles/689823901/royal-society-of-chemistry</vt:lpwstr>
  </property>
  <property fmtid="{D5CDD505-2E9C-101B-9397-08002B2CF9AE}" pid="19" name="Mendeley Recent Style Name 8_1">
    <vt:lpwstr>Royal Society of Chemistry - Guzel Musabirova</vt:lpwstr>
  </property>
  <property fmtid="{D5CDD505-2E9C-101B-9397-08002B2CF9AE}" pid="20" name="Mendeley Recent Style Id 9_1">
    <vt:lpwstr>http://www.zotero.org/styles/the-journal-of-physical-chemistry-b</vt:lpwstr>
  </property>
  <property fmtid="{D5CDD505-2E9C-101B-9397-08002B2CF9AE}" pid="21" name="Mendeley Recent Style Name 9_1">
    <vt:lpwstr>The Journal of Physical Chemistry B</vt:lpwstr>
  </property>
</Properties>
</file>