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60A8" w14:textId="66485B97" w:rsidR="008D53F9" w:rsidRPr="00E54537" w:rsidRDefault="008D53F9" w:rsidP="008D53F9">
      <w:pPr>
        <w:pStyle w:val="MDPI11articletype"/>
      </w:pPr>
      <w:r w:rsidRPr="00E54537">
        <w:t>Review</w:t>
      </w:r>
    </w:p>
    <w:p w14:paraId="3435C335" w14:textId="22FF5FDB" w:rsidR="008D53F9" w:rsidRPr="00E54537" w:rsidRDefault="00AA3119" w:rsidP="008D53F9">
      <w:pPr>
        <w:pStyle w:val="MDPI12title"/>
      </w:pPr>
      <w:r w:rsidRPr="00E54537">
        <w:t xml:space="preserve">Healthcare Resource Utilization (HCRU) and Direct Medical Costs </w:t>
      </w:r>
      <w:r w:rsidR="00BD4912">
        <w:t>Associated</w:t>
      </w:r>
      <w:r w:rsidR="007D1B61">
        <w:t xml:space="preserve"> with Long COVID or </w:t>
      </w:r>
      <w:r w:rsidR="00DC09DE">
        <w:t>P</w:t>
      </w:r>
      <w:r w:rsidR="007D1B61">
        <w:t xml:space="preserve">ost-COVID </w:t>
      </w:r>
      <w:r w:rsidR="00DC09DE">
        <w:t>C</w:t>
      </w:r>
      <w:r w:rsidR="007D1B61">
        <w:t>onditions</w:t>
      </w:r>
      <w:r w:rsidRPr="00E54537">
        <w:t>: Findings from a Literature Review</w:t>
      </w:r>
    </w:p>
    <w:p w14:paraId="0D8E883F" w14:textId="4DD80239" w:rsidR="00CE020A" w:rsidRPr="00E54537" w:rsidRDefault="006C75C6" w:rsidP="008D53F9">
      <w:pPr>
        <w:pStyle w:val="MDPI13authornames"/>
      </w:pPr>
      <w:r w:rsidRPr="00E54537">
        <w:t>Elzbieta Łukomska</w:t>
      </w:r>
      <w:r w:rsidRPr="00E54537">
        <w:rPr>
          <w:vertAlign w:val="superscript"/>
        </w:rPr>
        <w:t>1</w:t>
      </w:r>
      <w:r w:rsidR="00371443" w:rsidRPr="00E54537">
        <w:t>*</w:t>
      </w:r>
      <w:r w:rsidRPr="00E54537">
        <w:t>, Krzysztof Kloc</w:t>
      </w:r>
      <w:r w:rsidRPr="00E54537">
        <w:rPr>
          <w:vertAlign w:val="superscript"/>
        </w:rPr>
        <w:t>1</w:t>
      </w:r>
      <w:r w:rsidRPr="00E54537">
        <w:t>, Malwina Kowalska</w:t>
      </w:r>
      <w:r w:rsidRPr="00E54537">
        <w:rPr>
          <w:vertAlign w:val="superscript"/>
        </w:rPr>
        <w:t>1</w:t>
      </w:r>
      <w:r w:rsidRPr="00E54537">
        <w:t>, Aleksandra Matjaszek</w:t>
      </w:r>
      <w:r w:rsidRPr="00E54537">
        <w:rPr>
          <w:vertAlign w:val="superscript"/>
        </w:rPr>
        <w:t>1</w:t>
      </w:r>
      <w:r w:rsidRPr="00E54537">
        <w:t>, Keya Joshi</w:t>
      </w:r>
      <w:r w:rsidRPr="00E54537">
        <w:rPr>
          <w:vertAlign w:val="superscript"/>
        </w:rPr>
        <w:t>2</w:t>
      </w:r>
      <w:r w:rsidRPr="00E54537">
        <w:t>, Stefan Scholz</w:t>
      </w:r>
      <w:r w:rsidRPr="00E54537">
        <w:rPr>
          <w:vertAlign w:val="superscript"/>
        </w:rPr>
        <w:t>3</w:t>
      </w:r>
      <w:r w:rsidRPr="00E54537">
        <w:t>, Nicolas Van de Velde</w:t>
      </w:r>
      <w:r w:rsidRPr="00E54537">
        <w:rPr>
          <w:vertAlign w:val="superscript"/>
        </w:rPr>
        <w:t>2</w:t>
      </w:r>
      <w:r w:rsidRPr="00E54537">
        <w:t>, Ekkehard Beck</w:t>
      </w:r>
      <w:r w:rsidRPr="00E54537">
        <w:rPr>
          <w:vertAlign w:val="superscript"/>
        </w:rPr>
        <w:t>2</w:t>
      </w:r>
    </w:p>
    <w:p w14:paraId="620D9B8F" w14:textId="299C312D" w:rsidR="008D53F9" w:rsidRPr="00E54537" w:rsidRDefault="00572098" w:rsidP="00650095">
      <w:pPr>
        <w:pStyle w:val="MDPI16affiliation"/>
        <w:ind w:left="198"/>
      </w:pPr>
      <w:r w:rsidRPr="00E54537">
        <w:rPr>
          <w:vertAlign w:val="superscript"/>
        </w:rPr>
        <w:t>1</w:t>
      </w:r>
      <w:r w:rsidR="008D53F9" w:rsidRPr="00E54537">
        <w:tab/>
      </w:r>
      <w:r w:rsidR="006C75C6" w:rsidRPr="00E54537">
        <w:t>Assignity, Krakow, Poland;</w:t>
      </w:r>
    </w:p>
    <w:p w14:paraId="3F15B25D" w14:textId="17D74D93" w:rsidR="008D53F9" w:rsidRPr="00E54537" w:rsidRDefault="008D53F9" w:rsidP="00650095">
      <w:pPr>
        <w:pStyle w:val="MDPI16affiliation"/>
        <w:ind w:left="198"/>
      </w:pPr>
      <w:r w:rsidRPr="00E54537">
        <w:rPr>
          <w:vertAlign w:val="superscript"/>
        </w:rPr>
        <w:t>2</w:t>
      </w:r>
      <w:r w:rsidRPr="00E54537">
        <w:tab/>
      </w:r>
      <w:r w:rsidR="006C75C6" w:rsidRPr="00E54537">
        <w:t>Moderna, Inc., Cambridge, MA, USA</w:t>
      </w:r>
    </w:p>
    <w:p w14:paraId="26B84431" w14:textId="0FCB99F8" w:rsidR="006C75C6" w:rsidRPr="00E54537" w:rsidRDefault="006C75C6" w:rsidP="00650095">
      <w:pPr>
        <w:pStyle w:val="MDPI16affiliation"/>
        <w:ind w:left="198"/>
      </w:pPr>
      <w:r w:rsidRPr="00E54537">
        <w:rPr>
          <w:vertAlign w:val="superscript"/>
        </w:rPr>
        <w:t>3</w:t>
      </w:r>
      <w:r w:rsidRPr="00E54537">
        <w:rPr>
          <w:vertAlign w:val="superscript"/>
        </w:rPr>
        <w:tab/>
      </w:r>
      <w:r w:rsidRPr="00E54537">
        <w:t>Moderna, Munich, Germany</w:t>
      </w:r>
    </w:p>
    <w:p w14:paraId="3E686577" w14:textId="75AAD48C" w:rsidR="008D53F9" w:rsidRDefault="008D53F9" w:rsidP="00650095">
      <w:pPr>
        <w:pStyle w:val="MDPI16affiliation"/>
        <w:ind w:left="198"/>
      </w:pPr>
      <w:r w:rsidRPr="18627B4C">
        <w:rPr>
          <w:b/>
          <w:bCs/>
        </w:rPr>
        <w:t>*</w:t>
      </w:r>
      <w:r>
        <w:tab/>
        <w:t>Correspondence:</w:t>
      </w:r>
      <w:r w:rsidR="007A517F">
        <w:t xml:space="preserve"> </w:t>
      </w:r>
      <w:hyperlink r:id="rId10" w:history="1">
        <w:r w:rsidR="00650095" w:rsidRPr="00FA3E94">
          <w:rPr>
            <w:rStyle w:val="Hyperlink"/>
          </w:rPr>
          <w:t>elu@assignity.com</w:t>
        </w:r>
      </w:hyperlink>
      <w:r>
        <w:t xml:space="preserve"> </w:t>
      </w:r>
    </w:p>
    <w:p w14:paraId="587CD200" w14:textId="77777777" w:rsidR="00650095" w:rsidRPr="00650095" w:rsidRDefault="00650095" w:rsidP="00650095">
      <w:pPr>
        <w:pStyle w:val="MDPI21heading1"/>
        <w:ind w:left="0"/>
        <w:jc w:val="both"/>
        <w:rPr>
          <w:sz w:val="24"/>
          <w:szCs w:val="28"/>
        </w:rPr>
      </w:pPr>
      <w:r w:rsidRPr="00650095">
        <w:rPr>
          <w:sz w:val="24"/>
          <w:szCs w:val="28"/>
        </w:rPr>
        <w:t>Supplementary Material</w:t>
      </w:r>
    </w:p>
    <w:p w14:paraId="6E646193" w14:textId="77777777" w:rsidR="00650095" w:rsidRPr="00E54537" w:rsidRDefault="00650095" w:rsidP="00650095">
      <w:pPr>
        <w:pStyle w:val="MDPI16affiliation"/>
        <w:ind w:left="198"/>
      </w:pPr>
    </w:p>
    <w:p w14:paraId="1BA10E4A" w14:textId="77777777" w:rsidR="00650095" w:rsidRDefault="00650095">
      <w:pPr>
        <w:spacing w:line="240" w:lineRule="auto"/>
        <w:jc w:val="left"/>
        <w:rPr>
          <w:rFonts w:eastAsia="Times New Roman"/>
          <w:b/>
          <w:snapToGrid w:val="0"/>
          <w:szCs w:val="22"/>
          <w:lang w:eastAsia="de-DE" w:bidi="en-US"/>
        </w:rPr>
      </w:pPr>
      <w:r>
        <w:br w:type="page"/>
      </w:r>
    </w:p>
    <w:p w14:paraId="77A010B6" w14:textId="074DC9C8" w:rsidR="00885E3F" w:rsidRPr="00E54537" w:rsidRDefault="00885E3F" w:rsidP="00885E3F">
      <w:pPr>
        <w:pStyle w:val="MDPI41tablecaption"/>
        <w:ind w:left="0"/>
      </w:pPr>
      <w:r w:rsidRPr="00E54537">
        <w:rPr>
          <w:b/>
          <w:bCs/>
        </w:rPr>
        <w:lastRenderedPageBreak/>
        <w:t>Supplementary Table 1.</w:t>
      </w:r>
      <w:r w:rsidRPr="00E54537">
        <w:t xml:space="preserve"> PubMed search strategy.</w:t>
      </w:r>
    </w:p>
    <w:tbl>
      <w:tblPr>
        <w:tblStyle w:val="TableGrid"/>
        <w:tblW w:w="0" w:type="auto"/>
        <w:tblLook w:val="04A0" w:firstRow="1" w:lastRow="0" w:firstColumn="1" w:lastColumn="0" w:noHBand="0" w:noVBand="1"/>
      </w:tblPr>
      <w:tblGrid>
        <w:gridCol w:w="1271"/>
        <w:gridCol w:w="9185"/>
      </w:tblGrid>
      <w:tr w:rsidR="004A2B74" w:rsidRPr="00E54537" w14:paraId="130ABB31" w14:textId="77777777" w:rsidTr="00C00570">
        <w:tc>
          <w:tcPr>
            <w:tcW w:w="1271" w:type="dxa"/>
          </w:tcPr>
          <w:p w14:paraId="34ECF8BB" w14:textId="13A1B65F" w:rsidR="004A2B74" w:rsidRPr="00E54537" w:rsidRDefault="00C00570">
            <w:pPr>
              <w:pStyle w:val="MDPI42tablebody"/>
              <w:jc w:val="left"/>
              <w:rPr>
                <w:b/>
                <w:bCs/>
              </w:rPr>
            </w:pPr>
            <w:r w:rsidRPr="00E54537">
              <w:rPr>
                <w:b/>
                <w:bCs/>
              </w:rPr>
              <w:t>No</w:t>
            </w:r>
          </w:p>
        </w:tc>
        <w:tc>
          <w:tcPr>
            <w:tcW w:w="9185" w:type="dxa"/>
          </w:tcPr>
          <w:p w14:paraId="020EF647" w14:textId="1E02BD4A" w:rsidR="004A2B74" w:rsidRPr="00E54537" w:rsidRDefault="004A2B74">
            <w:pPr>
              <w:pStyle w:val="MDPI42tablebody"/>
              <w:jc w:val="left"/>
              <w:rPr>
                <w:b/>
                <w:bCs/>
              </w:rPr>
            </w:pPr>
            <w:r w:rsidRPr="00E54537">
              <w:rPr>
                <w:b/>
                <w:bCs/>
              </w:rPr>
              <w:t>Query</w:t>
            </w:r>
          </w:p>
        </w:tc>
      </w:tr>
      <w:tr w:rsidR="00C00570" w:rsidRPr="00E54537" w14:paraId="6FA7FCFE" w14:textId="77777777" w:rsidTr="00C00570">
        <w:tc>
          <w:tcPr>
            <w:tcW w:w="1271" w:type="dxa"/>
          </w:tcPr>
          <w:p w14:paraId="34AB856A"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w:t>
            </w:r>
          </w:p>
        </w:tc>
        <w:tc>
          <w:tcPr>
            <w:tcW w:w="9185" w:type="dxa"/>
          </w:tcPr>
          <w:p w14:paraId="332A0FAC" w14:textId="4E2E8DA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Long-covid[tw]</w:t>
            </w:r>
          </w:p>
        </w:tc>
      </w:tr>
      <w:tr w:rsidR="00C00570" w:rsidRPr="00E54537" w14:paraId="4E2217CC" w14:textId="77777777" w:rsidTr="00C00570">
        <w:tc>
          <w:tcPr>
            <w:tcW w:w="1271" w:type="dxa"/>
          </w:tcPr>
          <w:p w14:paraId="1AA18F5E"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w:t>
            </w:r>
          </w:p>
        </w:tc>
        <w:tc>
          <w:tcPr>
            <w:tcW w:w="9185" w:type="dxa"/>
          </w:tcPr>
          <w:p w14:paraId="4305BCA0" w14:textId="6AFE03BB"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Long-haul COVID-19[tw]</w:t>
            </w:r>
          </w:p>
        </w:tc>
      </w:tr>
      <w:tr w:rsidR="00C00570" w:rsidRPr="00E54537" w14:paraId="0AE7AD54" w14:textId="77777777" w:rsidTr="00C00570">
        <w:tc>
          <w:tcPr>
            <w:tcW w:w="1271" w:type="dxa"/>
          </w:tcPr>
          <w:p w14:paraId="0CF7C68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w:t>
            </w:r>
          </w:p>
        </w:tc>
        <w:tc>
          <w:tcPr>
            <w:tcW w:w="9185" w:type="dxa"/>
          </w:tcPr>
          <w:p w14:paraId="1886EABA" w14:textId="5431942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Long-haul COVID19[tw]</w:t>
            </w:r>
          </w:p>
        </w:tc>
      </w:tr>
      <w:tr w:rsidR="00C00570" w:rsidRPr="00E54537" w14:paraId="0E9E069C" w14:textId="77777777" w:rsidTr="00C00570">
        <w:tc>
          <w:tcPr>
            <w:tcW w:w="1271" w:type="dxa"/>
          </w:tcPr>
          <w:p w14:paraId="74F1152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w:t>
            </w:r>
          </w:p>
        </w:tc>
        <w:tc>
          <w:tcPr>
            <w:tcW w:w="9185" w:type="dxa"/>
          </w:tcPr>
          <w:p w14:paraId="5FC473DE" w14:textId="317907E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 COVID-19[tw]</w:t>
            </w:r>
          </w:p>
        </w:tc>
      </w:tr>
      <w:tr w:rsidR="00C00570" w:rsidRPr="00E54537" w14:paraId="2E55D8AA" w14:textId="77777777" w:rsidTr="00C00570">
        <w:tc>
          <w:tcPr>
            <w:tcW w:w="1271" w:type="dxa"/>
          </w:tcPr>
          <w:p w14:paraId="5F7044E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w:t>
            </w:r>
          </w:p>
        </w:tc>
        <w:tc>
          <w:tcPr>
            <w:tcW w:w="9185" w:type="dxa"/>
          </w:tcPr>
          <w:p w14:paraId="7110D8B0" w14:textId="0B3088C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 Covid19[tw]</w:t>
            </w:r>
          </w:p>
        </w:tc>
      </w:tr>
      <w:tr w:rsidR="00C00570" w:rsidRPr="00E54537" w14:paraId="18059982" w14:textId="77777777" w:rsidTr="00C00570">
        <w:tc>
          <w:tcPr>
            <w:tcW w:w="1271" w:type="dxa"/>
          </w:tcPr>
          <w:p w14:paraId="2E65CDF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w:t>
            </w:r>
          </w:p>
        </w:tc>
        <w:tc>
          <w:tcPr>
            <w:tcW w:w="9185" w:type="dxa"/>
          </w:tcPr>
          <w:p w14:paraId="129C7A1E" w14:textId="64ADF1BC"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Chronic covid[tw]</w:t>
            </w:r>
          </w:p>
        </w:tc>
      </w:tr>
      <w:tr w:rsidR="00C00570" w:rsidRPr="00E54537" w14:paraId="5AE42AA7" w14:textId="77777777" w:rsidTr="00C00570">
        <w:tc>
          <w:tcPr>
            <w:tcW w:w="1271" w:type="dxa"/>
          </w:tcPr>
          <w:p w14:paraId="29DEC41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w:t>
            </w:r>
          </w:p>
        </w:tc>
        <w:tc>
          <w:tcPr>
            <w:tcW w:w="9185" w:type="dxa"/>
          </w:tcPr>
          <w:p w14:paraId="6215016A" w14:textId="469E511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Post-covid19[tw]</w:t>
            </w:r>
          </w:p>
        </w:tc>
      </w:tr>
      <w:tr w:rsidR="00C00570" w:rsidRPr="00E54537" w14:paraId="5AA6A12D" w14:textId="77777777" w:rsidTr="00C00570">
        <w:tc>
          <w:tcPr>
            <w:tcW w:w="1271" w:type="dxa"/>
          </w:tcPr>
          <w:p w14:paraId="7E453F2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w:t>
            </w:r>
          </w:p>
        </w:tc>
        <w:tc>
          <w:tcPr>
            <w:tcW w:w="9185" w:type="dxa"/>
          </w:tcPr>
          <w:p w14:paraId="4193B57F" w14:textId="40541DE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Post-covid-19[tw]</w:t>
            </w:r>
          </w:p>
        </w:tc>
      </w:tr>
      <w:tr w:rsidR="00C00570" w:rsidRPr="00E54537" w14:paraId="07A8359F" w14:textId="77777777" w:rsidTr="00C00570">
        <w:tc>
          <w:tcPr>
            <w:tcW w:w="1271" w:type="dxa"/>
          </w:tcPr>
          <w:p w14:paraId="45822599"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#9</w:t>
            </w:r>
          </w:p>
        </w:tc>
        <w:tc>
          <w:tcPr>
            <w:tcW w:w="9185" w:type="dxa"/>
          </w:tcPr>
          <w:p w14:paraId="2CE927CA" w14:textId="760B4A9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covid[tw]</w:t>
            </w:r>
          </w:p>
        </w:tc>
      </w:tr>
      <w:tr w:rsidR="00C00570" w:rsidRPr="00E54537" w14:paraId="44740EF4" w14:textId="77777777" w:rsidTr="00C00570">
        <w:tc>
          <w:tcPr>
            <w:tcW w:w="1271" w:type="dxa"/>
          </w:tcPr>
          <w:p w14:paraId="5B1DC1F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#10</w:t>
            </w:r>
          </w:p>
        </w:tc>
        <w:tc>
          <w:tcPr>
            <w:tcW w:w="9185" w:type="dxa"/>
          </w:tcPr>
          <w:p w14:paraId="1FA628B3" w14:textId="0DE6D31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covid-19[tw]</w:t>
            </w:r>
          </w:p>
        </w:tc>
      </w:tr>
      <w:tr w:rsidR="00C00570" w:rsidRPr="00E54537" w14:paraId="6BE32D55" w14:textId="77777777" w:rsidTr="00C00570">
        <w:tc>
          <w:tcPr>
            <w:tcW w:w="1271" w:type="dxa"/>
          </w:tcPr>
          <w:p w14:paraId="336E7BC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#11</w:t>
            </w:r>
          </w:p>
        </w:tc>
        <w:tc>
          <w:tcPr>
            <w:tcW w:w="9185" w:type="dxa"/>
          </w:tcPr>
          <w:p w14:paraId="308EA881" w14:textId="3D1A175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covid19[tw]</w:t>
            </w:r>
          </w:p>
        </w:tc>
      </w:tr>
      <w:tr w:rsidR="00C00570" w:rsidRPr="00E54537" w14:paraId="5E75A3A4" w14:textId="77777777" w:rsidTr="00C00570">
        <w:tc>
          <w:tcPr>
            <w:tcW w:w="1271" w:type="dxa"/>
          </w:tcPr>
          <w:p w14:paraId="054F193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#12</w:t>
            </w:r>
          </w:p>
        </w:tc>
        <w:tc>
          <w:tcPr>
            <w:tcW w:w="9185" w:type="dxa"/>
          </w:tcPr>
          <w:p w14:paraId="4687AFF2" w14:textId="2CFDBB0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covid[tw]</w:t>
            </w:r>
          </w:p>
        </w:tc>
      </w:tr>
      <w:tr w:rsidR="00C00570" w:rsidRPr="00E54537" w14:paraId="1A78A3E3" w14:textId="77777777" w:rsidTr="00C00570">
        <w:tc>
          <w:tcPr>
            <w:tcW w:w="1271" w:type="dxa"/>
          </w:tcPr>
          <w:p w14:paraId="6213A46A"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#13</w:t>
            </w:r>
          </w:p>
        </w:tc>
        <w:tc>
          <w:tcPr>
            <w:tcW w:w="9185" w:type="dxa"/>
          </w:tcPr>
          <w:p w14:paraId="26976E8B" w14:textId="2071327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covid19[tw]</w:t>
            </w:r>
          </w:p>
        </w:tc>
      </w:tr>
      <w:tr w:rsidR="00C00570" w:rsidRPr="00E54537" w14:paraId="0203C011" w14:textId="77777777" w:rsidTr="00C00570">
        <w:tc>
          <w:tcPr>
            <w:tcW w:w="1271" w:type="dxa"/>
          </w:tcPr>
          <w:p w14:paraId="213409B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#14</w:t>
            </w:r>
          </w:p>
        </w:tc>
        <w:tc>
          <w:tcPr>
            <w:tcW w:w="9185" w:type="dxa"/>
          </w:tcPr>
          <w:p w14:paraId="6464970D" w14:textId="31A9AFA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covid-19[tw]</w:t>
            </w:r>
          </w:p>
        </w:tc>
      </w:tr>
      <w:tr w:rsidR="00C00570" w:rsidRPr="00E54537" w14:paraId="4D528AB8" w14:textId="77777777" w:rsidTr="00C00570">
        <w:tc>
          <w:tcPr>
            <w:tcW w:w="1271" w:type="dxa"/>
          </w:tcPr>
          <w:p w14:paraId="64EC06B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#15</w:t>
            </w:r>
          </w:p>
        </w:tc>
        <w:tc>
          <w:tcPr>
            <w:tcW w:w="9185" w:type="dxa"/>
          </w:tcPr>
          <w:p w14:paraId="4DC9AF2F" w14:textId="51C5887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sequelae of COVID-19[tw]</w:t>
            </w:r>
          </w:p>
        </w:tc>
      </w:tr>
      <w:tr w:rsidR="00C00570" w:rsidRPr="00E54537" w14:paraId="50290610" w14:textId="77777777" w:rsidTr="00C00570">
        <w:tc>
          <w:tcPr>
            <w:tcW w:w="1271" w:type="dxa"/>
          </w:tcPr>
          <w:p w14:paraId="72A09D3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#16</w:t>
            </w:r>
          </w:p>
        </w:tc>
        <w:tc>
          <w:tcPr>
            <w:tcW w:w="9185" w:type="dxa"/>
          </w:tcPr>
          <w:p w14:paraId="16BC4829" w14:textId="0C23895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sequelae of COVID-19[tw]</w:t>
            </w:r>
          </w:p>
        </w:tc>
      </w:tr>
      <w:tr w:rsidR="00C00570" w:rsidRPr="00E54537" w14:paraId="2C3944DE" w14:textId="77777777" w:rsidTr="00C00570">
        <w:tc>
          <w:tcPr>
            <w:tcW w:w="1271" w:type="dxa"/>
          </w:tcPr>
          <w:p w14:paraId="50DA845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#17</w:t>
            </w:r>
          </w:p>
        </w:tc>
        <w:tc>
          <w:tcPr>
            <w:tcW w:w="9185" w:type="dxa"/>
          </w:tcPr>
          <w:p w14:paraId="6A146A27" w14:textId="7D99128B"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sequelae of COVID[tw]</w:t>
            </w:r>
          </w:p>
        </w:tc>
      </w:tr>
      <w:tr w:rsidR="00C00570" w:rsidRPr="00E54537" w14:paraId="3FA54D43" w14:textId="77777777" w:rsidTr="00C00570">
        <w:tc>
          <w:tcPr>
            <w:tcW w:w="1271" w:type="dxa"/>
          </w:tcPr>
          <w:p w14:paraId="2C13C54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#18</w:t>
            </w:r>
          </w:p>
        </w:tc>
        <w:tc>
          <w:tcPr>
            <w:tcW w:w="9185" w:type="dxa"/>
          </w:tcPr>
          <w:p w14:paraId="0D84EDD9" w14:textId="2A7A607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sequelae of COVID[tw]</w:t>
            </w:r>
          </w:p>
        </w:tc>
      </w:tr>
      <w:tr w:rsidR="00C00570" w:rsidRPr="00E54537" w14:paraId="41F19F32" w14:textId="77777777" w:rsidTr="00C00570">
        <w:tc>
          <w:tcPr>
            <w:tcW w:w="1271" w:type="dxa"/>
          </w:tcPr>
          <w:p w14:paraId="4391DC5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#19</w:t>
            </w:r>
          </w:p>
        </w:tc>
        <w:tc>
          <w:tcPr>
            <w:tcW w:w="9185" w:type="dxa"/>
          </w:tcPr>
          <w:p w14:paraId="4DBF60CE" w14:textId="3DFD6D6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coronavirus syndrome[tw]</w:t>
            </w:r>
          </w:p>
        </w:tc>
      </w:tr>
      <w:tr w:rsidR="00C00570" w:rsidRPr="00E54537" w14:paraId="70B2A09E" w14:textId="77777777" w:rsidTr="00C00570">
        <w:tc>
          <w:tcPr>
            <w:tcW w:w="1271" w:type="dxa"/>
          </w:tcPr>
          <w:p w14:paraId="6D750B4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#20</w:t>
            </w:r>
          </w:p>
        </w:tc>
        <w:tc>
          <w:tcPr>
            <w:tcW w:w="9185" w:type="dxa"/>
          </w:tcPr>
          <w:p w14:paraId="3E3E2232" w14:textId="3E5A7131"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coronavirus syndrome[tw]</w:t>
            </w:r>
          </w:p>
        </w:tc>
      </w:tr>
      <w:tr w:rsidR="00C00570" w:rsidRPr="00E54537" w14:paraId="6A6B8E51" w14:textId="77777777" w:rsidTr="00C00570">
        <w:tc>
          <w:tcPr>
            <w:tcW w:w="1271" w:type="dxa"/>
          </w:tcPr>
          <w:p w14:paraId="0FC8C00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#21</w:t>
            </w:r>
          </w:p>
        </w:tc>
        <w:tc>
          <w:tcPr>
            <w:tcW w:w="9185" w:type="dxa"/>
          </w:tcPr>
          <w:p w14:paraId="237C162D" w14:textId="2EB532C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 Syndrome[tw]</w:t>
            </w:r>
          </w:p>
        </w:tc>
      </w:tr>
      <w:tr w:rsidR="00C00570" w:rsidRPr="00E54537" w14:paraId="26DFC540" w14:textId="77777777" w:rsidTr="00C00570">
        <w:tc>
          <w:tcPr>
            <w:tcW w:w="1271" w:type="dxa"/>
          </w:tcPr>
          <w:p w14:paraId="3B3FAEB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#22</w:t>
            </w:r>
          </w:p>
        </w:tc>
        <w:tc>
          <w:tcPr>
            <w:tcW w:w="9185" w:type="dxa"/>
          </w:tcPr>
          <w:p w14:paraId="151D7A0B" w14:textId="786ABFAE"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 Syndrome[tw]</w:t>
            </w:r>
          </w:p>
        </w:tc>
      </w:tr>
      <w:tr w:rsidR="00C00570" w:rsidRPr="00E54537" w14:paraId="45C8E2CA" w14:textId="77777777" w:rsidTr="00C00570">
        <w:tc>
          <w:tcPr>
            <w:tcW w:w="1271" w:type="dxa"/>
          </w:tcPr>
          <w:p w14:paraId="719EE62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#23</w:t>
            </w:r>
          </w:p>
        </w:tc>
        <w:tc>
          <w:tcPr>
            <w:tcW w:w="9185" w:type="dxa"/>
          </w:tcPr>
          <w:p w14:paraId="77EFCE43" w14:textId="324874E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 Syndrome[tw]</w:t>
            </w:r>
          </w:p>
        </w:tc>
      </w:tr>
      <w:tr w:rsidR="00C00570" w:rsidRPr="00E54537" w14:paraId="0A4F064B" w14:textId="77777777" w:rsidTr="00C00570">
        <w:tc>
          <w:tcPr>
            <w:tcW w:w="1271" w:type="dxa"/>
          </w:tcPr>
          <w:p w14:paraId="46B1425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#24</w:t>
            </w:r>
          </w:p>
        </w:tc>
        <w:tc>
          <w:tcPr>
            <w:tcW w:w="9185" w:type="dxa"/>
          </w:tcPr>
          <w:p w14:paraId="194BC19B" w14:textId="20BA14D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 Syndrome[tw]</w:t>
            </w:r>
          </w:p>
        </w:tc>
      </w:tr>
      <w:tr w:rsidR="00C00570" w:rsidRPr="00E54537" w14:paraId="53EDAD5C" w14:textId="77777777" w:rsidTr="00C00570">
        <w:tc>
          <w:tcPr>
            <w:tcW w:w="1271" w:type="dxa"/>
          </w:tcPr>
          <w:p w14:paraId="14B11A7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#25</w:t>
            </w:r>
          </w:p>
        </w:tc>
        <w:tc>
          <w:tcPr>
            <w:tcW w:w="9185" w:type="dxa"/>
          </w:tcPr>
          <w:p w14:paraId="69509840" w14:textId="1DBE6229"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 sequelae[tw]</w:t>
            </w:r>
          </w:p>
        </w:tc>
      </w:tr>
      <w:tr w:rsidR="00C00570" w:rsidRPr="00E54537" w14:paraId="53DE5C9B" w14:textId="77777777" w:rsidTr="00C00570">
        <w:tc>
          <w:tcPr>
            <w:tcW w:w="1271" w:type="dxa"/>
          </w:tcPr>
          <w:p w14:paraId="602081A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#26</w:t>
            </w:r>
          </w:p>
        </w:tc>
        <w:tc>
          <w:tcPr>
            <w:tcW w:w="9185" w:type="dxa"/>
          </w:tcPr>
          <w:p w14:paraId="5A1ADEB3" w14:textId="2BC8818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 sequelae[tw]</w:t>
            </w:r>
          </w:p>
        </w:tc>
      </w:tr>
      <w:tr w:rsidR="00C00570" w:rsidRPr="00E54537" w14:paraId="0BFD044D" w14:textId="77777777" w:rsidTr="00C00570">
        <w:tc>
          <w:tcPr>
            <w:tcW w:w="1271" w:type="dxa"/>
          </w:tcPr>
          <w:p w14:paraId="14938F8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#27</w:t>
            </w:r>
          </w:p>
        </w:tc>
        <w:tc>
          <w:tcPr>
            <w:tcW w:w="9185" w:type="dxa"/>
          </w:tcPr>
          <w:p w14:paraId="7BF548F6" w14:textId="461D1E0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 sequelae[tw]</w:t>
            </w:r>
          </w:p>
        </w:tc>
      </w:tr>
      <w:tr w:rsidR="00C00570" w:rsidRPr="00E54537" w14:paraId="5249E7C9" w14:textId="77777777" w:rsidTr="00C00570">
        <w:tc>
          <w:tcPr>
            <w:tcW w:w="1271" w:type="dxa"/>
          </w:tcPr>
          <w:p w14:paraId="049AA61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#28</w:t>
            </w:r>
          </w:p>
        </w:tc>
        <w:tc>
          <w:tcPr>
            <w:tcW w:w="9185" w:type="dxa"/>
          </w:tcPr>
          <w:p w14:paraId="3BE16E1B" w14:textId="66170A60"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Post-covid condition*[tw]</w:t>
            </w:r>
          </w:p>
        </w:tc>
      </w:tr>
      <w:tr w:rsidR="00C00570" w:rsidRPr="00E54537" w14:paraId="0D54F6C5" w14:textId="77777777" w:rsidTr="00C00570">
        <w:tc>
          <w:tcPr>
            <w:tcW w:w="1271" w:type="dxa"/>
          </w:tcPr>
          <w:p w14:paraId="784DEC06"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#29</w:t>
            </w:r>
          </w:p>
        </w:tc>
        <w:tc>
          <w:tcPr>
            <w:tcW w:w="9185" w:type="dxa"/>
          </w:tcPr>
          <w:p w14:paraId="6064927F" w14:textId="1CF5F86B"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Post-covid-19 condition*[tw]</w:t>
            </w:r>
          </w:p>
        </w:tc>
      </w:tr>
      <w:tr w:rsidR="00C00570" w:rsidRPr="00E54537" w14:paraId="032C44AF" w14:textId="77777777" w:rsidTr="00C00570">
        <w:tc>
          <w:tcPr>
            <w:tcW w:w="1271" w:type="dxa"/>
          </w:tcPr>
          <w:p w14:paraId="0F8B94D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#30</w:t>
            </w:r>
          </w:p>
        </w:tc>
        <w:tc>
          <w:tcPr>
            <w:tcW w:w="9185" w:type="dxa"/>
          </w:tcPr>
          <w:p w14:paraId="78DAF66A" w14:textId="2347D7CC"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Post-covid19 condition*[tw]</w:t>
            </w:r>
          </w:p>
        </w:tc>
      </w:tr>
      <w:tr w:rsidR="00C00570" w:rsidRPr="00E54537" w14:paraId="056760E9" w14:textId="77777777" w:rsidTr="00C00570">
        <w:tc>
          <w:tcPr>
            <w:tcW w:w="1271" w:type="dxa"/>
          </w:tcPr>
          <w:p w14:paraId="5453B0E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#31</w:t>
            </w:r>
          </w:p>
        </w:tc>
        <w:tc>
          <w:tcPr>
            <w:tcW w:w="9185" w:type="dxa"/>
          </w:tcPr>
          <w:p w14:paraId="29B7A5FB" w14:textId="162E660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Chronic covid syndrome[tw]</w:t>
            </w:r>
          </w:p>
        </w:tc>
      </w:tr>
      <w:tr w:rsidR="00C00570" w:rsidRPr="00E54537" w14:paraId="06173075" w14:textId="77777777" w:rsidTr="00C00570">
        <w:tc>
          <w:tcPr>
            <w:tcW w:w="1271" w:type="dxa"/>
          </w:tcPr>
          <w:p w14:paraId="69FD6C2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#32</w:t>
            </w:r>
          </w:p>
        </w:tc>
        <w:tc>
          <w:tcPr>
            <w:tcW w:w="9185" w:type="dxa"/>
          </w:tcPr>
          <w:p w14:paraId="3A2A5BF9" w14:textId="0D0E02B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Chronic covid19 syndrome[tw]</w:t>
            </w:r>
          </w:p>
        </w:tc>
      </w:tr>
      <w:tr w:rsidR="00C00570" w:rsidRPr="00E54537" w14:paraId="5DDBC228" w14:textId="77777777" w:rsidTr="00C00570">
        <w:tc>
          <w:tcPr>
            <w:tcW w:w="1271" w:type="dxa"/>
          </w:tcPr>
          <w:p w14:paraId="42AAB98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#33</w:t>
            </w:r>
          </w:p>
        </w:tc>
        <w:tc>
          <w:tcPr>
            <w:tcW w:w="9185" w:type="dxa"/>
          </w:tcPr>
          <w:p w14:paraId="2A9CD673" w14:textId="6D8B52A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Chronic covid-19 syndrome[tw]</w:t>
            </w:r>
          </w:p>
        </w:tc>
      </w:tr>
      <w:tr w:rsidR="00C00570" w:rsidRPr="00E54537" w14:paraId="3B90CE71" w14:textId="77777777" w:rsidTr="00C00570">
        <w:tc>
          <w:tcPr>
            <w:tcW w:w="1271" w:type="dxa"/>
          </w:tcPr>
          <w:p w14:paraId="52B4643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#34</w:t>
            </w:r>
          </w:p>
        </w:tc>
        <w:tc>
          <w:tcPr>
            <w:tcW w:w="9185" w:type="dxa"/>
          </w:tcPr>
          <w:p w14:paraId="6D74F967" w14:textId="14EF2D5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Long-term covid syndrome[tw]</w:t>
            </w:r>
          </w:p>
        </w:tc>
      </w:tr>
      <w:tr w:rsidR="00C00570" w:rsidRPr="00E54537" w14:paraId="33B49894" w14:textId="77777777" w:rsidTr="00C00570">
        <w:tc>
          <w:tcPr>
            <w:tcW w:w="1271" w:type="dxa"/>
          </w:tcPr>
          <w:p w14:paraId="3D4C9FCA"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#35</w:t>
            </w:r>
          </w:p>
        </w:tc>
        <w:tc>
          <w:tcPr>
            <w:tcW w:w="9185" w:type="dxa"/>
          </w:tcPr>
          <w:p w14:paraId="3F9AE0F3" w14:textId="36AAED2C"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Long-term covid19 syndrome[tw]</w:t>
            </w:r>
          </w:p>
        </w:tc>
      </w:tr>
      <w:tr w:rsidR="00C00570" w:rsidRPr="00E54537" w14:paraId="29BDA0F6" w14:textId="77777777" w:rsidTr="00C00570">
        <w:tc>
          <w:tcPr>
            <w:tcW w:w="1271" w:type="dxa"/>
          </w:tcPr>
          <w:p w14:paraId="324E387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#36</w:t>
            </w:r>
          </w:p>
        </w:tc>
        <w:tc>
          <w:tcPr>
            <w:tcW w:w="9185" w:type="dxa"/>
          </w:tcPr>
          <w:p w14:paraId="7DD9DB43" w14:textId="56597BE9"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Long-term covid-19 syndrome[tw]</w:t>
            </w:r>
          </w:p>
        </w:tc>
      </w:tr>
      <w:tr w:rsidR="00C00570" w:rsidRPr="00E54537" w14:paraId="7B76AB51" w14:textId="77777777" w:rsidTr="00C00570">
        <w:tc>
          <w:tcPr>
            <w:tcW w:w="1271" w:type="dxa"/>
          </w:tcPr>
          <w:p w14:paraId="6AD4CE8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#37</w:t>
            </w:r>
          </w:p>
        </w:tc>
        <w:tc>
          <w:tcPr>
            <w:tcW w:w="9185" w:type="dxa"/>
          </w:tcPr>
          <w:p w14:paraId="01036CEF" w14:textId="41F38C0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PASC[tiab]</w:t>
            </w:r>
          </w:p>
        </w:tc>
      </w:tr>
      <w:tr w:rsidR="00C00570" w:rsidRPr="00E54537" w14:paraId="0775186B" w14:textId="77777777" w:rsidTr="00C00570">
        <w:tc>
          <w:tcPr>
            <w:tcW w:w="1271" w:type="dxa"/>
          </w:tcPr>
          <w:p w14:paraId="12973FDC"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#38</w:t>
            </w:r>
          </w:p>
        </w:tc>
        <w:tc>
          <w:tcPr>
            <w:tcW w:w="9185" w:type="dxa"/>
          </w:tcPr>
          <w:p w14:paraId="4F799C7C" w14:textId="3751034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 COVID-19 Syndrome[MESH]</w:t>
            </w:r>
          </w:p>
        </w:tc>
      </w:tr>
      <w:tr w:rsidR="00C00570" w:rsidRPr="00E54537" w14:paraId="58BAC357" w14:textId="77777777" w:rsidTr="00C00570">
        <w:tc>
          <w:tcPr>
            <w:tcW w:w="1271" w:type="dxa"/>
          </w:tcPr>
          <w:p w14:paraId="32366C68"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#39</w:t>
            </w:r>
          </w:p>
        </w:tc>
        <w:tc>
          <w:tcPr>
            <w:tcW w:w="9185" w:type="dxa"/>
          </w:tcPr>
          <w:p w14:paraId="6CE999B6" w14:textId="39F8715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#1 OR #2 OR #3 OR #4 OR #5 OR #6 OR #7 OR #8 OR #9 OR #10 OR #11 OR #12 OR #13 OR #14 OR #15 OR #16 OR #17 OR #18 OR #19 OR #20 OR #21 OR #22 OR #23 OR #24 OR #25 OR #26 OR #27 OR #28 OR #29 OR #30 OR #31 OR #32 OR #33 OR #34 OR #35 OR #36 OR #37 OR #38</w:t>
            </w:r>
          </w:p>
        </w:tc>
      </w:tr>
      <w:tr w:rsidR="00C00570" w:rsidRPr="00E54537" w14:paraId="78A3BD34" w14:textId="77777777" w:rsidTr="00C00570">
        <w:tc>
          <w:tcPr>
            <w:tcW w:w="1271" w:type="dxa"/>
          </w:tcPr>
          <w:p w14:paraId="0FE4D3EC"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#40</w:t>
            </w:r>
          </w:p>
        </w:tc>
        <w:tc>
          <w:tcPr>
            <w:tcW w:w="9185" w:type="dxa"/>
          </w:tcPr>
          <w:p w14:paraId="58A2CD1D" w14:textId="3F0ADC5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COVID[tiab]</w:t>
            </w:r>
          </w:p>
        </w:tc>
      </w:tr>
      <w:tr w:rsidR="00C00570" w:rsidRPr="00E54537" w14:paraId="605524BB" w14:textId="77777777" w:rsidTr="00C00570">
        <w:tc>
          <w:tcPr>
            <w:tcW w:w="1271" w:type="dxa"/>
          </w:tcPr>
          <w:p w14:paraId="3C9E74C5"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#41</w:t>
            </w:r>
          </w:p>
        </w:tc>
        <w:tc>
          <w:tcPr>
            <w:tcW w:w="9185" w:type="dxa"/>
          </w:tcPr>
          <w:p w14:paraId="25F26D3B" w14:textId="1EB33D4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COVID-19[tiab]</w:t>
            </w:r>
          </w:p>
        </w:tc>
      </w:tr>
      <w:tr w:rsidR="00C00570" w:rsidRPr="00E54537" w14:paraId="65376961" w14:textId="77777777" w:rsidTr="00C00570">
        <w:tc>
          <w:tcPr>
            <w:tcW w:w="1271" w:type="dxa"/>
          </w:tcPr>
          <w:p w14:paraId="3D6F11E5"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#42</w:t>
            </w:r>
          </w:p>
        </w:tc>
        <w:tc>
          <w:tcPr>
            <w:tcW w:w="9185" w:type="dxa"/>
          </w:tcPr>
          <w:p w14:paraId="690E509C" w14:textId="5D41F66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COVID19[tiab]</w:t>
            </w:r>
          </w:p>
        </w:tc>
      </w:tr>
      <w:tr w:rsidR="00C00570" w:rsidRPr="00E54537" w14:paraId="5F421BB2" w14:textId="77777777" w:rsidTr="00C00570">
        <w:tc>
          <w:tcPr>
            <w:tcW w:w="1271" w:type="dxa"/>
          </w:tcPr>
          <w:p w14:paraId="19D29FF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#43</w:t>
            </w:r>
          </w:p>
        </w:tc>
        <w:tc>
          <w:tcPr>
            <w:tcW w:w="9185" w:type="dxa"/>
          </w:tcPr>
          <w:p w14:paraId="40502FAF" w14:textId="469696B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SARS-CoV-2[tiab]</w:t>
            </w:r>
          </w:p>
        </w:tc>
      </w:tr>
      <w:tr w:rsidR="00C00570" w:rsidRPr="00E54537" w14:paraId="2A37FEAD" w14:textId="77777777" w:rsidTr="00C00570">
        <w:tc>
          <w:tcPr>
            <w:tcW w:w="1271" w:type="dxa"/>
          </w:tcPr>
          <w:p w14:paraId="062D74A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#44</w:t>
            </w:r>
          </w:p>
        </w:tc>
        <w:tc>
          <w:tcPr>
            <w:tcW w:w="9185" w:type="dxa"/>
          </w:tcPr>
          <w:p w14:paraId="18E1D1BD" w14:textId="1A201D3B" w:rsidR="00C00570" w:rsidRPr="00E54537" w:rsidRDefault="00C00570" w:rsidP="00B96CC7">
            <w:pPr>
              <w:pStyle w:val="MDPI42tablebody"/>
              <w:jc w:val="left"/>
              <w:rPr>
                <w:rFonts w:cs="Segoe UI"/>
                <w:color w:val="212121"/>
                <w:lang w:eastAsia="pl-PL"/>
              </w:rPr>
            </w:pPr>
            <w:r w:rsidRPr="00E54537">
              <w:rPr>
                <w:rFonts w:cs="Segoe UI"/>
                <w:color w:val="212121"/>
                <w:lang w:eastAsia="pl-PL"/>
              </w:rPr>
              <w:t>SARSCoV2[tiab]</w:t>
            </w:r>
          </w:p>
        </w:tc>
      </w:tr>
      <w:tr w:rsidR="00C00570" w:rsidRPr="00E54537" w14:paraId="64F99282" w14:textId="77777777" w:rsidTr="00C00570">
        <w:tc>
          <w:tcPr>
            <w:tcW w:w="1271" w:type="dxa"/>
          </w:tcPr>
          <w:p w14:paraId="41320379"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#45</w:t>
            </w:r>
          </w:p>
        </w:tc>
        <w:tc>
          <w:tcPr>
            <w:tcW w:w="9185" w:type="dxa"/>
          </w:tcPr>
          <w:p w14:paraId="36BBFD84" w14:textId="5D0E2FDB" w:rsidR="00C00570" w:rsidRPr="00E54537" w:rsidRDefault="00C00570" w:rsidP="00B96CC7">
            <w:pPr>
              <w:pStyle w:val="MDPI42tablebody"/>
              <w:jc w:val="left"/>
              <w:rPr>
                <w:rFonts w:cs="Segoe UI"/>
                <w:color w:val="212121"/>
                <w:lang w:eastAsia="pl-PL"/>
              </w:rPr>
            </w:pPr>
            <w:r w:rsidRPr="00E54537">
              <w:rPr>
                <w:rFonts w:cs="Segoe UI"/>
                <w:color w:val="212121"/>
                <w:lang w:eastAsia="pl-PL"/>
              </w:rPr>
              <w:t>2019-nCoV[tiab]</w:t>
            </w:r>
          </w:p>
        </w:tc>
      </w:tr>
      <w:tr w:rsidR="00C00570" w:rsidRPr="00E54537" w14:paraId="0080CE74" w14:textId="77777777" w:rsidTr="00C00570">
        <w:tc>
          <w:tcPr>
            <w:tcW w:w="1271" w:type="dxa"/>
          </w:tcPr>
          <w:p w14:paraId="55767219"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lastRenderedPageBreak/>
              <w:t>#46</w:t>
            </w:r>
          </w:p>
        </w:tc>
        <w:tc>
          <w:tcPr>
            <w:tcW w:w="9185" w:type="dxa"/>
          </w:tcPr>
          <w:p w14:paraId="3C040000" w14:textId="044ED315"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Coronavirus[tiab]</w:t>
            </w:r>
          </w:p>
        </w:tc>
      </w:tr>
      <w:tr w:rsidR="00C00570" w:rsidRPr="00E54537" w14:paraId="2DC6E172" w14:textId="77777777" w:rsidTr="00C00570">
        <w:tc>
          <w:tcPr>
            <w:tcW w:w="1271" w:type="dxa"/>
          </w:tcPr>
          <w:p w14:paraId="687CF26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#47</w:t>
            </w:r>
          </w:p>
        </w:tc>
        <w:tc>
          <w:tcPr>
            <w:tcW w:w="9185" w:type="dxa"/>
          </w:tcPr>
          <w:p w14:paraId="1C6D724E" w14:textId="5F047D0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Severe Acute Respiratory Syndrome Coronavirus[tiab]</w:t>
            </w:r>
          </w:p>
        </w:tc>
      </w:tr>
      <w:tr w:rsidR="00C00570" w:rsidRPr="00E54537" w14:paraId="4E63D5C9" w14:textId="77777777" w:rsidTr="00C00570">
        <w:tc>
          <w:tcPr>
            <w:tcW w:w="1271" w:type="dxa"/>
          </w:tcPr>
          <w:p w14:paraId="41C3945A"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#48</w:t>
            </w:r>
          </w:p>
        </w:tc>
        <w:tc>
          <w:tcPr>
            <w:tcW w:w="9185" w:type="dxa"/>
          </w:tcPr>
          <w:p w14:paraId="071F148B" w14:textId="4A3D82C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#40 OR #41 OR #42 OR #43 OR #44 OR #45 OR #46 OR #47</w:t>
            </w:r>
          </w:p>
        </w:tc>
      </w:tr>
      <w:tr w:rsidR="00C00570" w:rsidRPr="00E54537" w14:paraId="4FC2CA06" w14:textId="77777777" w:rsidTr="00C00570">
        <w:tc>
          <w:tcPr>
            <w:tcW w:w="1271" w:type="dxa"/>
          </w:tcPr>
          <w:p w14:paraId="670D702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#49</w:t>
            </w:r>
          </w:p>
        </w:tc>
        <w:tc>
          <w:tcPr>
            <w:tcW w:w="9185" w:type="dxa"/>
          </w:tcPr>
          <w:p w14:paraId="0995B80F" w14:textId="34CF1B8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Comorbidit* [tiab]</w:t>
            </w:r>
          </w:p>
        </w:tc>
      </w:tr>
      <w:tr w:rsidR="00C00570" w:rsidRPr="00E54537" w14:paraId="494797DF" w14:textId="77777777" w:rsidTr="00C00570">
        <w:tc>
          <w:tcPr>
            <w:tcW w:w="1271" w:type="dxa"/>
          </w:tcPr>
          <w:p w14:paraId="7ECD395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#50</w:t>
            </w:r>
          </w:p>
        </w:tc>
        <w:tc>
          <w:tcPr>
            <w:tcW w:w="9185" w:type="dxa"/>
          </w:tcPr>
          <w:p w14:paraId="221CE345" w14:textId="0860FBD1"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Complication*[tiab]</w:t>
            </w:r>
          </w:p>
        </w:tc>
      </w:tr>
      <w:tr w:rsidR="00C00570" w:rsidRPr="00E54537" w14:paraId="422DB7BD" w14:textId="77777777" w:rsidTr="00C00570">
        <w:tc>
          <w:tcPr>
            <w:tcW w:w="1271" w:type="dxa"/>
          </w:tcPr>
          <w:p w14:paraId="5A9A1CA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#51</w:t>
            </w:r>
          </w:p>
        </w:tc>
        <w:tc>
          <w:tcPr>
            <w:tcW w:w="9185" w:type="dxa"/>
          </w:tcPr>
          <w:p w14:paraId="6549256D" w14:textId="0BA9439E"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Consequence*[tiab]</w:t>
            </w:r>
          </w:p>
        </w:tc>
      </w:tr>
      <w:tr w:rsidR="00C00570" w:rsidRPr="00E54537" w14:paraId="446E4CD9" w14:textId="77777777" w:rsidTr="00C00570">
        <w:tc>
          <w:tcPr>
            <w:tcW w:w="1271" w:type="dxa"/>
          </w:tcPr>
          <w:p w14:paraId="6EEEB22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#52</w:t>
            </w:r>
          </w:p>
        </w:tc>
        <w:tc>
          <w:tcPr>
            <w:tcW w:w="9185" w:type="dxa"/>
          </w:tcPr>
          <w:p w14:paraId="5634D8CE" w14:textId="7793AAD5" w:rsidR="00C00570" w:rsidRPr="00E54537" w:rsidRDefault="00C00570" w:rsidP="00B96CC7">
            <w:pPr>
              <w:pStyle w:val="MDPI42tablebody"/>
              <w:jc w:val="left"/>
              <w:rPr>
                <w:rFonts w:cs="Segoe UI"/>
                <w:color w:val="212121"/>
                <w:lang w:eastAsia="pl-PL"/>
              </w:rPr>
            </w:pPr>
            <w:r w:rsidRPr="00E54537">
              <w:rPr>
                <w:rFonts w:cs="Segoe UI"/>
                <w:color w:val="212121"/>
                <w:lang w:eastAsia="pl-PL"/>
              </w:rPr>
              <w:t>Implication* [tiab]</w:t>
            </w:r>
          </w:p>
        </w:tc>
      </w:tr>
      <w:tr w:rsidR="00C00570" w:rsidRPr="00E54537" w14:paraId="55082338" w14:textId="77777777" w:rsidTr="00C00570">
        <w:tc>
          <w:tcPr>
            <w:tcW w:w="1271" w:type="dxa"/>
          </w:tcPr>
          <w:p w14:paraId="5686FDE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#53</w:t>
            </w:r>
          </w:p>
        </w:tc>
        <w:tc>
          <w:tcPr>
            <w:tcW w:w="9185" w:type="dxa"/>
          </w:tcPr>
          <w:p w14:paraId="13C70499" w14:textId="770DB48C"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Late effect*[tiab]</w:t>
            </w:r>
          </w:p>
        </w:tc>
      </w:tr>
      <w:tr w:rsidR="00C00570" w:rsidRPr="00E54537" w14:paraId="4E7D9337" w14:textId="77777777" w:rsidTr="00C00570">
        <w:tc>
          <w:tcPr>
            <w:tcW w:w="1271" w:type="dxa"/>
          </w:tcPr>
          <w:p w14:paraId="343BF9AE"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#54</w:t>
            </w:r>
          </w:p>
        </w:tc>
        <w:tc>
          <w:tcPr>
            <w:tcW w:w="9185" w:type="dxa"/>
          </w:tcPr>
          <w:p w14:paraId="7BE655FC" w14:textId="63D452C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Sequelae[tiab]</w:t>
            </w:r>
          </w:p>
        </w:tc>
      </w:tr>
      <w:tr w:rsidR="00C00570" w:rsidRPr="00E54537" w14:paraId="3C1C8DCB" w14:textId="77777777" w:rsidTr="00C00570">
        <w:tc>
          <w:tcPr>
            <w:tcW w:w="1271" w:type="dxa"/>
          </w:tcPr>
          <w:p w14:paraId="428589C2"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#55</w:t>
            </w:r>
          </w:p>
        </w:tc>
        <w:tc>
          <w:tcPr>
            <w:tcW w:w="9185" w:type="dxa"/>
          </w:tcPr>
          <w:p w14:paraId="1802BD15" w14:textId="63784FC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#49 OR #50 OR #51 OR #52 OR #53 OR #54</w:t>
            </w:r>
          </w:p>
        </w:tc>
      </w:tr>
      <w:tr w:rsidR="00C00570" w:rsidRPr="00E54537" w14:paraId="4B22BDC2" w14:textId="77777777" w:rsidTr="00C00570">
        <w:tc>
          <w:tcPr>
            <w:tcW w:w="1271" w:type="dxa"/>
          </w:tcPr>
          <w:p w14:paraId="2E78834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#56</w:t>
            </w:r>
          </w:p>
        </w:tc>
        <w:tc>
          <w:tcPr>
            <w:tcW w:w="9185" w:type="dxa"/>
          </w:tcPr>
          <w:p w14:paraId="60522A04" w14:textId="19990A3E" w:rsidR="00C00570" w:rsidRPr="00E54537" w:rsidRDefault="00C00570" w:rsidP="00B96CC7">
            <w:pPr>
              <w:pStyle w:val="MDPI42tablebody"/>
              <w:jc w:val="left"/>
              <w:rPr>
                <w:rFonts w:cs="Segoe UI"/>
                <w:color w:val="212121"/>
                <w:lang w:eastAsia="pl-PL"/>
              </w:rPr>
            </w:pPr>
            <w:r w:rsidRPr="00E54537">
              <w:rPr>
                <w:rFonts w:cs="Segoe UI"/>
                <w:color w:val="212121"/>
                <w:lang w:eastAsia="pl-PL"/>
              </w:rPr>
              <w:t>#48 AND #55</w:t>
            </w:r>
          </w:p>
        </w:tc>
      </w:tr>
      <w:tr w:rsidR="00C00570" w:rsidRPr="00E54537" w14:paraId="50FDC4FA" w14:textId="77777777" w:rsidTr="00C00570">
        <w:tc>
          <w:tcPr>
            <w:tcW w:w="1271" w:type="dxa"/>
          </w:tcPr>
          <w:p w14:paraId="0ED6A14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#57</w:t>
            </w:r>
          </w:p>
        </w:tc>
        <w:tc>
          <w:tcPr>
            <w:tcW w:w="9185" w:type="dxa"/>
          </w:tcPr>
          <w:p w14:paraId="5AF70167" w14:textId="1F2A9F8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long-term[tiab]</w:t>
            </w:r>
          </w:p>
        </w:tc>
      </w:tr>
      <w:tr w:rsidR="00C00570" w:rsidRPr="00E54537" w14:paraId="7DA37E05" w14:textId="77777777" w:rsidTr="00C00570">
        <w:tc>
          <w:tcPr>
            <w:tcW w:w="1271" w:type="dxa"/>
          </w:tcPr>
          <w:p w14:paraId="327A8EA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#58</w:t>
            </w:r>
          </w:p>
        </w:tc>
        <w:tc>
          <w:tcPr>
            <w:tcW w:w="9185" w:type="dxa"/>
          </w:tcPr>
          <w:p w14:paraId="22BE67DE" w14:textId="4137B27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longitudinal[tiab]</w:t>
            </w:r>
          </w:p>
        </w:tc>
      </w:tr>
      <w:tr w:rsidR="00C00570" w:rsidRPr="00E54537" w14:paraId="433683E4" w14:textId="77777777" w:rsidTr="00C00570">
        <w:tc>
          <w:tcPr>
            <w:tcW w:w="1271" w:type="dxa"/>
          </w:tcPr>
          <w:p w14:paraId="042685D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#59</w:t>
            </w:r>
          </w:p>
        </w:tc>
        <w:tc>
          <w:tcPr>
            <w:tcW w:w="9185" w:type="dxa"/>
          </w:tcPr>
          <w:p w14:paraId="54EA7FD2" w14:textId="10C5B18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follow-up[tiab]</w:t>
            </w:r>
          </w:p>
        </w:tc>
      </w:tr>
      <w:tr w:rsidR="00C00570" w:rsidRPr="00E54537" w14:paraId="51AC0530" w14:textId="77777777" w:rsidTr="00C00570">
        <w:tc>
          <w:tcPr>
            <w:tcW w:w="1271" w:type="dxa"/>
          </w:tcPr>
          <w:p w14:paraId="1D6E8B2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#60</w:t>
            </w:r>
          </w:p>
        </w:tc>
        <w:tc>
          <w:tcPr>
            <w:tcW w:w="9185" w:type="dxa"/>
          </w:tcPr>
          <w:p w14:paraId="34DE5D3F" w14:textId="0B387A6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post-acute[tiab]</w:t>
            </w:r>
          </w:p>
        </w:tc>
      </w:tr>
      <w:tr w:rsidR="00C00570" w:rsidRPr="00E54537" w14:paraId="586C26E5" w14:textId="77777777" w:rsidTr="00C00570">
        <w:tc>
          <w:tcPr>
            <w:tcW w:w="1271" w:type="dxa"/>
          </w:tcPr>
          <w:p w14:paraId="4F4FF155"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#61</w:t>
            </w:r>
          </w:p>
        </w:tc>
        <w:tc>
          <w:tcPr>
            <w:tcW w:w="9185" w:type="dxa"/>
          </w:tcPr>
          <w:p w14:paraId="48EA1D20" w14:textId="10BBE27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post-discharge[tiab]</w:t>
            </w:r>
          </w:p>
        </w:tc>
      </w:tr>
      <w:tr w:rsidR="00C00570" w:rsidRPr="00E54537" w14:paraId="27907772" w14:textId="77777777" w:rsidTr="00C00570">
        <w:tc>
          <w:tcPr>
            <w:tcW w:w="1271" w:type="dxa"/>
          </w:tcPr>
          <w:p w14:paraId="481D09F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#62</w:t>
            </w:r>
          </w:p>
        </w:tc>
        <w:tc>
          <w:tcPr>
            <w:tcW w:w="9185" w:type="dxa"/>
          </w:tcPr>
          <w:p w14:paraId="1D141C5A" w14:textId="12EC839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#57 OR #58 OR #59 OR #60 OR #61</w:t>
            </w:r>
          </w:p>
        </w:tc>
      </w:tr>
      <w:tr w:rsidR="00C00570" w:rsidRPr="00E54537" w14:paraId="1CC77258" w14:textId="77777777" w:rsidTr="00C00570">
        <w:tc>
          <w:tcPr>
            <w:tcW w:w="1271" w:type="dxa"/>
          </w:tcPr>
          <w:p w14:paraId="6C43269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#63</w:t>
            </w:r>
          </w:p>
        </w:tc>
        <w:tc>
          <w:tcPr>
            <w:tcW w:w="9185" w:type="dxa"/>
          </w:tcPr>
          <w:p w14:paraId="672BF79F" w14:textId="1680275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#56 AND #62</w:t>
            </w:r>
          </w:p>
        </w:tc>
      </w:tr>
      <w:tr w:rsidR="00C00570" w:rsidRPr="00E54537" w14:paraId="4B7950F8" w14:textId="77777777" w:rsidTr="00C00570">
        <w:tc>
          <w:tcPr>
            <w:tcW w:w="1271" w:type="dxa"/>
          </w:tcPr>
          <w:p w14:paraId="2A7A5CCE"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#64</w:t>
            </w:r>
          </w:p>
        </w:tc>
        <w:tc>
          <w:tcPr>
            <w:tcW w:w="9185" w:type="dxa"/>
          </w:tcPr>
          <w:p w14:paraId="33472593" w14:textId="4D713FDE" w:rsidR="00C00570" w:rsidRPr="00E54537" w:rsidRDefault="00C00570" w:rsidP="00B96CC7">
            <w:pPr>
              <w:pStyle w:val="MDPI42tablebody"/>
              <w:jc w:val="left"/>
              <w:rPr>
                <w:rFonts w:cs="Segoe UI"/>
                <w:color w:val="212121"/>
                <w:lang w:eastAsia="pl-PL"/>
              </w:rPr>
            </w:pPr>
            <w:r w:rsidRPr="00E54537">
              <w:rPr>
                <w:rFonts w:cs="Segoe UI"/>
                <w:color w:val="212121"/>
                <w:lang w:eastAsia="pl-PL"/>
              </w:rPr>
              <w:t>#39 OR #63</w:t>
            </w:r>
          </w:p>
        </w:tc>
      </w:tr>
      <w:tr w:rsidR="00C00570" w:rsidRPr="00E54537" w14:paraId="10D4F35E" w14:textId="77777777" w:rsidTr="00C00570">
        <w:tc>
          <w:tcPr>
            <w:tcW w:w="1271" w:type="dxa"/>
          </w:tcPr>
          <w:p w14:paraId="08240866"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#65</w:t>
            </w:r>
          </w:p>
        </w:tc>
        <w:tc>
          <w:tcPr>
            <w:tcW w:w="9185" w:type="dxa"/>
          </w:tcPr>
          <w:p w14:paraId="6962DD69" w14:textId="0CAC01A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Medical Expenditure*[tw]</w:t>
            </w:r>
          </w:p>
        </w:tc>
      </w:tr>
      <w:tr w:rsidR="00C00570" w:rsidRPr="00E54537" w14:paraId="1353ADAD" w14:textId="77777777" w:rsidTr="00C00570">
        <w:tc>
          <w:tcPr>
            <w:tcW w:w="1271" w:type="dxa"/>
          </w:tcPr>
          <w:p w14:paraId="5489180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#66</w:t>
            </w:r>
          </w:p>
        </w:tc>
        <w:tc>
          <w:tcPr>
            <w:tcW w:w="9185" w:type="dxa"/>
          </w:tcPr>
          <w:p w14:paraId="2A6C2EFF" w14:textId="3DC7A9D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Healthcare Utilization[tw]</w:t>
            </w:r>
          </w:p>
        </w:tc>
      </w:tr>
      <w:tr w:rsidR="00C00570" w:rsidRPr="00E54537" w14:paraId="34C1B8DE" w14:textId="77777777" w:rsidTr="00C00570">
        <w:tc>
          <w:tcPr>
            <w:tcW w:w="1271" w:type="dxa"/>
          </w:tcPr>
          <w:p w14:paraId="0C3A92C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#67</w:t>
            </w:r>
          </w:p>
        </w:tc>
        <w:tc>
          <w:tcPr>
            <w:tcW w:w="9185" w:type="dxa"/>
          </w:tcPr>
          <w:p w14:paraId="3E1E8ADB" w14:textId="2FCAD4C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Healthcare Utilisation[tw]</w:t>
            </w:r>
          </w:p>
        </w:tc>
      </w:tr>
      <w:tr w:rsidR="00C00570" w:rsidRPr="00E54537" w14:paraId="51D21709" w14:textId="77777777" w:rsidTr="00C00570">
        <w:tc>
          <w:tcPr>
            <w:tcW w:w="1271" w:type="dxa"/>
          </w:tcPr>
          <w:p w14:paraId="06DDF72A"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#68</w:t>
            </w:r>
          </w:p>
        </w:tc>
        <w:tc>
          <w:tcPr>
            <w:tcW w:w="9185" w:type="dxa"/>
          </w:tcPr>
          <w:p w14:paraId="0C5FC9EC" w14:textId="13528B7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Care Cost*[tw]</w:t>
            </w:r>
          </w:p>
        </w:tc>
      </w:tr>
      <w:tr w:rsidR="00C00570" w:rsidRPr="00E54537" w14:paraId="0B6B4CE4" w14:textId="77777777" w:rsidTr="00C00570">
        <w:tc>
          <w:tcPr>
            <w:tcW w:w="1271" w:type="dxa"/>
          </w:tcPr>
          <w:p w14:paraId="03CA85DF"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#69</w:t>
            </w:r>
          </w:p>
        </w:tc>
        <w:tc>
          <w:tcPr>
            <w:tcW w:w="9185" w:type="dxa"/>
          </w:tcPr>
          <w:p w14:paraId="0B7E6813" w14:textId="60BC7F7C"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Healthcare cost*[tw]</w:t>
            </w:r>
          </w:p>
        </w:tc>
      </w:tr>
      <w:tr w:rsidR="00C00570" w:rsidRPr="00E54537" w14:paraId="37555538" w14:textId="77777777" w:rsidTr="00C00570">
        <w:tc>
          <w:tcPr>
            <w:tcW w:w="1271" w:type="dxa"/>
          </w:tcPr>
          <w:p w14:paraId="2E716BD8"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#70</w:t>
            </w:r>
          </w:p>
        </w:tc>
        <w:tc>
          <w:tcPr>
            <w:tcW w:w="9185" w:type="dxa"/>
          </w:tcPr>
          <w:p w14:paraId="50430CF8" w14:textId="3A73A78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policy[tiab]</w:t>
            </w:r>
          </w:p>
        </w:tc>
      </w:tr>
      <w:tr w:rsidR="00C00570" w:rsidRPr="00E54537" w14:paraId="0C270647" w14:textId="77777777" w:rsidTr="00C00570">
        <w:tc>
          <w:tcPr>
            <w:tcW w:w="1271" w:type="dxa"/>
          </w:tcPr>
          <w:p w14:paraId="5FB317FD"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#71</w:t>
            </w:r>
          </w:p>
        </w:tc>
        <w:tc>
          <w:tcPr>
            <w:tcW w:w="9185" w:type="dxa"/>
          </w:tcPr>
          <w:p w14:paraId="74AC2C29" w14:textId="01EF3DC4"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resource utilization[tw]</w:t>
            </w:r>
          </w:p>
        </w:tc>
      </w:tr>
      <w:tr w:rsidR="00C00570" w:rsidRPr="00E54537" w14:paraId="69F5AA63" w14:textId="77777777" w:rsidTr="00C00570">
        <w:tc>
          <w:tcPr>
            <w:tcW w:w="1271" w:type="dxa"/>
          </w:tcPr>
          <w:p w14:paraId="50287C2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#72</w:t>
            </w:r>
          </w:p>
        </w:tc>
        <w:tc>
          <w:tcPr>
            <w:tcW w:w="9185" w:type="dxa"/>
          </w:tcPr>
          <w:p w14:paraId="3C2EC984" w14:textId="2632EA6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resource utilisation[tw]</w:t>
            </w:r>
          </w:p>
        </w:tc>
      </w:tr>
      <w:tr w:rsidR="00C00570" w:rsidRPr="00E54537" w14:paraId="6DE81F4C" w14:textId="77777777" w:rsidTr="00C00570">
        <w:tc>
          <w:tcPr>
            <w:tcW w:w="1271" w:type="dxa"/>
          </w:tcPr>
          <w:p w14:paraId="1096853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#73</w:t>
            </w:r>
          </w:p>
        </w:tc>
        <w:tc>
          <w:tcPr>
            <w:tcW w:w="9185" w:type="dxa"/>
          </w:tcPr>
          <w:p w14:paraId="79813C02" w14:textId="0A5759D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HCRU[tiab]</w:t>
            </w:r>
          </w:p>
        </w:tc>
      </w:tr>
      <w:tr w:rsidR="00C00570" w:rsidRPr="00E54537" w14:paraId="1BB3296F" w14:textId="77777777" w:rsidTr="00C00570">
        <w:tc>
          <w:tcPr>
            <w:tcW w:w="1271" w:type="dxa"/>
          </w:tcPr>
          <w:p w14:paraId="7D05892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#74</w:t>
            </w:r>
          </w:p>
        </w:tc>
        <w:tc>
          <w:tcPr>
            <w:tcW w:w="9185" w:type="dxa"/>
          </w:tcPr>
          <w:p w14:paraId="586AFE85" w14:textId="541F7B6E"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economics[tw]</w:t>
            </w:r>
          </w:p>
        </w:tc>
      </w:tr>
      <w:tr w:rsidR="00C00570" w:rsidRPr="00E54537" w14:paraId="7F35CC2F" w14:textId="77777777" w:rsidTr="00C00570">
        <w:tc>
          <w:tcPr>
            <w:tcW w:w="1271" w:type="dxa"/>
          </w:tcPr>
          <w:p w14:paraId="43493721"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#75</w:t>
            </w:r>
          </w:p>
        </w:tc>
        <w:tc>
          <w:tcPr>
            <w:tcW w:w="9185" w:type="dxa"/>
          </w:tcPr>
          <w:p w14:paraId="6AD4C27B" w14:textId="56CF065F"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services research[tw]</w:t>
            </w:r>
          </w:p>
        </w:tc>
      </w:tr>
      <w:tr w:rsidR="00C00570" w:rsidRPr="00E54537" w14:paraId="181C023F" w14:textId="77777777" w:rsidTr="00C00570">
        <w:tc>
          <w:tcPr>
            <w:tcW w:w="1271" w:type="dxa"/>
          </w:tcPr>
          <w:p w14:paraId="4DE72FA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#76</w:t>
            </w:r>
          </w:p>
        </w:tc>
        <w:tc>
          <w:tcPr>
            <w:tcW w:w="9185" w:type="dxa"/>
          </w:tcPr>
          <w:p w14:paraId="391C920E" w14:textId="5F345B6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Medical cost*[tw]</w:t>
            </w:r>
          </w:p>
        </w:tc>
      </w:tr>
      <w:tr w:rsidR="00C00570" w:rsidRPr="00E54537" w14:paraId="29D392A1" w14:textId="77777777" w:rsidTr="00C00570">
        <w:tc>
          <w:tcPr>
            <w:tcW w:w="1271" w:type="dxa"/>
          </w:tcPr>
          <w:p w14:paraId="058EF89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#77</w:t>
            </w:r>
          </w:p>
        </w:tc>
        <w:tc>
          <w:tcPr>
            <w:tcW w:w="9185" w:type="dxa"/>
          </w:tcPr>
          <w:p w14:paraId="58E37A31" w14:textId="76A45A8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Cost*[tiab]</w:t>
            </w:r>
          </w:p>
        </w:tc>
      </w:tr>
      <w:tr w:rsidR="00C00570" w:rsidRPr="00E54537" w14:paraId="29F1965C" w14:textId="77777777" w:rsidTr="00C00570">
        <w:tc>
          <w:tcPr>
            <w:tcW w:w="1271" w:type="dxa"/>
          </w:tcPr>
          <w:p w14:paraId="34ACE26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#78</w:t>
            </w:r>
          </w:p>
        </w:tc>
        <w:tc>
          <w:tcPr>
            <w:tcW w:w="9185" w:type="dxa"/>
          </w:tcPr>
          <w:p w14:paraId="6775B6C5" w14:textId="1A320FDD" w:rsidR="00C00570" w:rsidRPr="00E54537" w:rsidRDefault="00C00570" w:rsidP="00B96CC7">
            <w:pPr>
              <w:pStyle w:val="MDPI42tablebody"/>
              <w:jc w:val="left"/>
              <w:rPr>
                <w:rFonts w:cs="Segoe UI"/>
                <w:color w:val="212121"/>
                <w:lang w:eastAsia="pl-PL"/>
              </w:rPr>
            </w:pPr>
            <w:r w:rsidRPr="00E54537">
              <w:rPr>
                <w:rFonts w:cs="Segoe UI"/>
                <w:color w:val="212121"/>
                <w:lang w:eastAsia="pl-PL"/>
              </w:rPr>
              <w:t>Economic burden[tiab]</w:t>
            </w:r>
          </w:p>
        </w:tc>
      </w:tr>
      <w:tr w:rsidR="00C00570" w:rsidRPr="00E54537" w14:paraId="58DA4227" w14:textId="77777777" w:rsidTr="00C00570">
        <w:tc>
          <w:tcPr>
            <w:tcW w:w="1271" w:type="dxa"/>
          </w:tcPr>
          <w:p w14:paraId="34220563"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#79</w:t>
            </w:r>
          </w:p>
        </w:tc>
        <w:tc>
          <w:tcPr>
            <w:tcW w:w="9185" w:type="dxa"/>
          </w:tcPr>
          <w:p w14:paraId="18358920" w14:textId="0D975FE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Medical spending*[tw]</w:t>
            </w:r>
          </w:p>
        </w:tc>
      </w:tr>
      <w:tr w:rsidR="00C00570" w:rsidRPr="00E54537" w14:paraId="1B52BAD7" w14:textId="77777777" w:rsidTr="00C00570">
        <w:tc>
          <w:tcPr>
            <w:tcW w:w="1271" w:type="dxa"/>
          </w:tcPr>
          <w:p w14:paraId="4828AE7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#80</w:t>
            </w:r>
          </w:p>
        </w:tc>
        <w:tc>
          <w:tcPr>
            <w:tcW w:w="9185" w:type="dxa"/>
          </w:tcPr>
          <w:p w14:paraId="5BBA7621" w14:textId="03464FB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Cost of illness[tw]</w:t>
            </w:r>
          </w:p>
        </w:tc>
      </w:tr>
      <w:tr w:rsidR="00C00570" w:rsidRPr="00E54537" w14:paraId="49DF4AC5" w14:textId="77777777" w:rsidTr="00C00570">
        <w:tc>
          <w:tcPr>
            <w:tcW w:w="1271" w:type="dxa"/>
          </w:tcPr>
          <w:p w14:paraId="4FD67E54"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#81</w:t>
            </w:r>
          </w:p>
        </w:tc>
        <w:tc>
          <w:tcPr>
            <w:tcW w:w="9185" w:type="dxa"/>
          </w:tcPr>
          <w:p w14:paraId="72B94D81" w14:textId="3B6C3D6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Hospitalization cost*[tw]</w:t>
            </w:r>
          </w:p>
        </w:tc>
      </w:tr>
      <w:tr w:rsidR="00C00570" w:rsidRPr="00E54537" w14:paraId="3DB2AAE7" w14:textId="77777777" w:rsidTr="00C00570">
        <w:tc>
          <w:tcPr>
            <w:tcW w:w="1271" w:type="dxa"/>
          </w:tcPr>
          <w:p w14:paraId="1644399E"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#82</w:t>
            </w:r>
          </w:p>
        </w:tc>
        <w:tc>
          <w:tcPr>
            <w:tcW w:w="9185" w:type="dxa"/>
          </w:tcPr>
          <w:p w14:paraId="526311E7" w14:textId="427C54D0"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Hospitalisation cost*[tw]</w:t>
            </w:r>
          </w:p>
        </w:tc>
      </w:tr>
      <w:tr w:rsidR="00C00570" w:rsidRPr="00E54537" w14:paraId="0DB9B405" w14:textId="77777777" w:rsidTr="00C00570">
        <w:tc>
          <w:tcPr>
            <w:tcW w:w="1271" w:type="dxa"/>
          </w:tcPr>
          <w:p w14:paraId="0A532D8C"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#83</w:t>
            </w:r>
          </w:p>
        </w:tc>
        <w:tc>
          <w:tcPr>
            <w:tcW w:w="9185" w:type="dxa"/>
          </w:tcPr>
          <w:p w14:paraId="34070E3B" w14:textId="36CE897A"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Hospital cost*[tw]</w:t>
            </w:r>
          </w:p>
        </w:tc>
      </w:tr>
      <w:tr w:rsidR="00C00570" w:rsidRPr="00E54537" w14:paraId="75924BDA" w14:textId="77777777" w:rsidTr="00C00570">
        <w:tc>
          <w:tcPr>
            <w:tcW w:w="1271" w:type="dxa"/>
          </w:tcPr>
          <w:p w14:paraId="283BDB57"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#84</w:t>
            </w:r>
          </w:p>
        </w:tc>
        <w:tc>
          <w:tcPr>
            <w:tcW w:w="9185" w:type="dxa"/>
          </w:tcPr>
          <w:p w14:paraId="1B5A62F0" w14:textId="2C7CE5F6" w:rsidR="00C00570" w:rsidRPr="00E54537" w:rsidRDefault="00C00570" w:rsidP="00B96CC7">
            <w:pPr>
              <w:pStyle w:val="MDPI42tablebody"/>
              <w:jc w:val="left"/>
              <w:rPr>
                <w:rFonts w:cs="Segoe UI"/>
                <w:color w:val="212121"/>
                <w:lang w:eastAsia="pl-PL"/>
              </w:rPr>
            </w:pPr>
            <w:r w:rsidRPr="00E54537">
              <w:rPr>
                <w:rFonts w:cs="Segoe UI"/>
                <w:color w:val="212121"/>
                <w:lang w:eastAsia="pl-PL"/>
              </w:rPr>
              <w:t>Spending[tiab]</w:t>
            </w:r>
          </w:p>
        </w:tc>
      </w:tr>
      <w:tr w:rsidR="00C00570" w:rsidRPr="00E54537" w14:paraId="346F3621" w14:textId="77777777" w:rsidTr="00C00570">
        <w:tc>
          <w:tcPr>
            <w:tcW w:w="1271" w:type="dxa"/>
          </w:tcPr>
          <w:p w14:paraId="0874F305"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#85</w:t>
            </w:r>
          </w:p>
        </w:tc>
        <w:tc>
          <w:tcPr>
            <w:tcW w:w="9185" w:type="dxa"/>
          </w:tcPr>
          <w:p w14:paraId="099BAE02" w14:textId="4E8EE3A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service cost[tw]</w:t>
            </w:r>
          </w:p>
        </w:tc>
      </w:tr>
      <w:tr w:rsidR="00C00570" w:rsidRPr="00E54537" w14:paraId="58419A69" w14:textId="77777777" w:rsidTr="00C00570">
        <w:tc>
          <w:tcPr>
            <w:tcW w:w="1271" w:type="dxa"/>
          </w:tcPr>
          <w:p w14:paraId="297C5AB2"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#86</w:t>
            </w:r>
          </w:p>
        </w:tc>
        <w:tc>
          <w:tcPr>
            <w:tcW w:w="9185" w:type="dxa"/>
          </w:tcPr>
          <w:p w14:paraId="22B015D0" w14:textId="5ABFB2D0" w:rsidR="00C00570" w:rsidRPr="00E54537" w:rsidRDefault="00C00570" w:rsidP="00B96CC7">
            <w:pPr>
              <w:pStyle w:val="MDPI42tablebody"/>
              <w:jc w:val="left"/>
              <w:rPr>
                <w:rFonts w:cs="Segoe UI"/>
                <w:color w:val="212121"/>
                <w:lang w:eastAsia="pl-PL"/>
              </w:rPr>
            </w:pPr>
            <w:r w:rsidRPr="00E54537">
              <w:rPr>
                <w:rFonts w:cs="Segoe UI"/>
                <w:color w:val="212121"/>
                <w:lang w:eastAsia="pl-PL"/>
              </w:rPr>
              <w:t>economic*[tiab]</w:t>
            </w:r>
          </w:p>
        </w:tc>
      </w:tr>
      <w:tr w:rsidR="00C00570" w:rsidRPr="00E54537" w14:paraId="44A8D32B" w14:textId="77777777" w:rsidTr="00C00570">
        <w:tc>
          <w:tcPr>
            <w:tcW w:w="1271" w:type="dxa"/>
          </w:tcPr>
          <w:p w14:paraId="67CDA3C8"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#87</w:t>
            </w:r>
          </w:p>
        </w:tc>
        <w:tc>
          <w:tcPr>
            <w:tcW w:w="9185" w:type="dxa"/>
          </w:tcPr>
          <w:p w14:paraId="5711103D" w14:textId="073BC429" w:rsidR="00C00570" w:rsidRPr="00E54537" w:rsidRDefault="00C00570" w:rsidP="00B96CC7">
            <w:pPr>
              <w:pStyle w:val="MDPI42tablebody"/>
              <w:jc w:val="left"/>
              <w:rPr>
                <w:rFonts w:cs="Segoe UI"/>
                <w:color w:val="212121"/>
                <w:lang w:eastAsia="pl-PL"/>
              </w:rPr>
            </w:pPr>
            <w:r w:rsidRPr="00E54537">
              <w:rPr>
                <w:rFonts w:cs="Segoe UI"/>
                <w:color w:val="212121"/>
                <w:lang w:eastAsia="pl-PL"/>
              </w:rPr>
              <w:t>cost effectiveness[tw]</w:t>
            </w:r>
          </w:p>
        </w:tc>
      </w:tr>
      <w:tr w:rsidR="00C00570" w:rsidRPr="00E54537" w14:paraId="3BFADF97" w14:textId="77777777" w:rsidTr="00C00570">
        <w:tc>
          <w:tcPr>
            <w:tcW w:w="1271" w:type="dxa"/>
          </w:tcPr>
          <w:p w14:paraId="1BB9FEC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#88</w:t>
            </w:r>
          </w:p>
        </w:tc>
        <w:tc>
          <w:tcPr>
            <w:tcW w:w="9185" w:type="dxa"/>
          </w:tcPr>
          <w:p w14:paraId="496ED554" w14:textId="1AE11045"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Care Costs[MESH]</w:t>
            </w:r>
          </w:p>
        </w:tc>
      </w:tr>
      <w:tr w:rsidR="00C00570" w:rsidRPr="00E54537" w14:paraId="3A46F0E7" w14:textId="77777777" w:rsidTr="00C00570">
        <w:tc>
          <w:tcPr>
            <w:tcW w:w="1271" w:type="dxa"/>
          </w:tcPr>
          <w:p w14:paraId="22608929"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#89</w:t>
            </w:r>
          </w:p>
        </w:tc>
        <w:tc>
          <w:tcPr>
            <w:tcW w:w="9185" w:type="dxa"/>
          </w:tcPr>
          <w:p w14:paraId="6C7AB38C" w14:textId="4739E375"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Expenditures[MESH]</w:t>
            </w:r>
          </w:p>
        </w:tc>
      </w:tr>
      <w:tr w:rsidR="00C00570" w:rsidRPr="00E54537" w14:paraId="4FA5DB43" w14:textId="77777777" w:rsidTr="00C00570">
        <w:tc>
          <w:tcPr>
            <w:tcW w:w="1271" w:type="dxa"/>
          </w:tcPr>
          <w:p w14:paraId="4E94AF40"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#90</w:t>
            </w:r>
          </w:p>
        </w:tc>
        <w:tc>
          <w:tcPr>
            <w:tcW w:w="9185" w:type="dxa"/>
          </w:tcPr>
          <w:p w14:paraId="39140237" w14:textId="12D7E8C8"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Resources[MESH]</w:t>
            </w:r>
          </w:p>
        </w:tc>
      </w:tr>
      <w:tr w:rsidR="00C00570" w:rsidRPr="00E54537" w14:paraId="57FBDE40" w14:textId="77777777" w:rsidTr="00C00570">
        <w:tc>
          <w:tcPr>
            <w:tcW w:w="1271" w:type="dxa"/>
          </w:tcPr>
          <w:p w14:paraId="28D966AB"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#91</w:t>
            </w:r>
          </w:p>
        </w:tc>
        <w:tc>
          <w:tcPr>
            <w:tcW w:w="9185" w:type="dxa"/>
          </w:tcPr>
          <w:p w14:paraId="374472FB" w14:textId="0009FC01"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Health Care Utilization[MESH]</w:t>
            </w:r>
          </w:p>
        </w:tc>
      </w:tr>
      <w:tr w:rsidR="00C00570" w:rsidRPr="00E54537" w14:paraId="1BCFB938" w14:textId="77777777" w:rsidTr="00C00570">
        <w:tc>
          <w:tcPr>
            <w:tcW w:w="1271" w:type="dxa"/>
          </w:tcPr>
          <w:p w14:paraId="748A19A2"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#92</w:t>
            </w:r>
          </w:p>
        </w:tc>
        <w:tc>
          <w:tcPr>
            <w:tcW w:w="9185" w:type="dxa"/>
          </w:tcPr>
          <w:p w14:paraId="71065AA1" w14:textId="1A156072" w:rsidR="00C00570" w:rsidRPr="00E54537" w:rsidRDefault="00C00570" w:rsidP="00B96CC7">
            <w:pPr>
              <w:pStyle w:val="MDPI42tablebody"/>
              <w:jc w:val="left"/>
              <w:rPr>
                <w:rFonts w:cs="Segoe UI"/>
                <w:color w:val="212121"/>
                <w:lang w:eastAsia="pl-PL"/>
              </w:rPr>
            </w:pPr>
            <w:r w:rsidRPr="00E54537">
              <w:rPr>
                <w:rFonts w:cs="Segoe UI"/>
                <w:color w:val="212121"/>
                <w:lang w:eastAsia="pl-PL"/>
              </w:rPr>
              <w:t>Medicare*[MESH]</w:t>
            </w:r>
          </w:p>
        </w:tc>
      </w:tr>
      <w:tr w:rsidR="00C00570" w:rsidRPr="00E54537" w14:paraId="3EA58602" w14:textId="77777777" w:rsidTr="00C00570">
        <w:tc>
          <w:tcPr>
            <w:tcW w:w="1271" w:type="dxa"/>
          </w:tcPr>
          <w:p w14:paraId="0B014E06" w14:textId="77777777" w:rsidR="00C00570" w:rsidRPr="00E54537" w:rsidRDefault="00C00570" w:rsidP="00B96CC7">
            <w:pPr>
              <w:pStyle w:val="MDPI42tablebody"/>
              <w:jc w:val="left"/>
              <w:rPr>
                <w:rFonts w:cs="Segoe UI"/>
                <w:color w:val="212121"/>
                <w:lang w:eastAsia="pl-PL"/>
              </w:rPr>
            </w:pPr>
            <w:r w:rsidRPr="00E54537">
              <w:rPr>
                <w:rFonts w:cs="Segoe UI"/>
                <w:color w:val="212121"/>
                <w:lang w:eastAsia="pl-PL"/>
              </w:rPr>
              <w:t>#93</w:t>
            </w:r>
          </w:p>
        </w:tc>
        <w:tc>
          <w:tcPr>
            <w:tcW w:w="9185" w:type="dxa"/>
          </w:tcPr>
          <w:p w14:paraId="4C1AE3E4" w14:textId="7A898C43" w:rsidR="00C00570" w:rsidRPr="00E54537" w:rsidRDefault="00C00570" w:rsidP="00B96CC7">
            <w:pPr>
              <w:pStyle w:val="MDPI42tablebody"/>
              <w:jc w:val="left"/>
              <w:rPr>
                <w:rFonts w:cs="Segoe UI"/>
                <w:color w:val="212121"/>
                <w:lang w:eastAsia="pl-PL"/>
              </w:rPr>
            </w:pPr>
            <w:r w:rsidRPr="00E54537">
              <w:rPr>
                <w:rFonts w:cs="Segoe UI"/>
                <w:color w:val="212121"/>
                <w:lang w:eastAsia="pl-PL"/>
              </w:rPr>
              <w:t>Hospital costs[MESH]</w:t>
            </w:r>
          </w:p>
        </w:tc>
      </w:tr>
      <w:tr w:rsidR="00C00570" w:rsidRPr="00E54537" w14:paraId="111A7A00" w14:textId="77777777" w:rsidTr="00C00570">
        <w:tc>
          <w:tcPr>
            <w:tcW w:w="1271" w:type="dxa"/>
          </w:tcPr>
          <w:p w14:paraId="6F12CEF2" w14:textId="77777777" w:rsidR="00C00570" w:rsidRPr="00E54537" w:rsidRDefault="00C00570" w:rsidP="00B96CC7">
            <w:pPr>
              <w:pStyle w:val="MDPI42tablebody"/>
              <w:jc w:val="left"/>
            </w:pPr>
            <w:r w:rsidRPr="00E54537">
              <w:rPr>
                <w:rFonts w:cs="Segoe UI"/>
                <w:color w:val="212121"/>
                <w:lang w:eastAsia="pl-PL"/>
              </w:rPr>
              <w:lastRenderedPageBreak/>
              <w:t>#94</w:t>
            </w:r>
          </w:p>
        </w:tc>
        <w:tc>
          <w:tcPr>
            <w:tcW w:w="9185" w:type="dxa"/>
          </w:tcPr>
          <w:p w14:paraId="3F99FA0C" w14:textId="497A8CAF" w:rsidR="00C00570" w:rsidRPr="00E54537" w:rsidRDefault="00C00570" w:rsidP="00B96CC7">
            <w:pPr>
              <w:pStyle w:val="MDPI42tablebody"/>
              <w:jc w:val="left"/>
            </w:pPr>
            <w:r w:rsidRPr="00E54537">
              <w:rPr>
                <w:rFonts w:cs="Segoe UI"/>
                <w:color w:val="212121"/>
                <w:lang w:eastAsia="pl-PL"/>
              </w:rPr>
              <w:t>#65 OR #66 OR #67 OR #68 OR #69 OR #70 OR #71 OR #72 OR #73 OR #74 OR #75 OR #76 OR #77 OR #78 OR #79 OR #80 OR #81 OR #82 OR #83 OR #84 OR #85 OR #86 OR #87 OR #88 OR #89 OR #90 OR #91 OR #92 OR #93</w:t>
            </w:r>
          </w:p>
        </w:tc>
      </w:tr>
      <w:tr w:rsidR="00C00570" w:rsidRPr="00E54537" w14:paraId="1EC9F177" w14:textId="77777777" w:rsidTr="00C00570">
        <w:tc>
          <w:tcPr>
            <w:tcW w:w="1271" w:type="dxa"/>
          </w:tcPr>
          <w:p w14:paraId="3FC70B18" w14:textId="77777777" w:rsidR="00C00570" w:rsidRPr="00E54537" w:rsidRDefault="00C00570" w:rsidP="00B96CC7">
            <w:pPr>
              <w:pStyle w:val="MDPI42tablebody"/>
              <w:jc w:val="left"/>
            </w:pPr>
            <w:r w:rsidRPr="00E54537">
              <w:rPr>
                <w:rFonts w:cs="Segoe UI"/>
                <w:color w:val="212121"/>
                <w:lang w:eastAsia="pl-PL"/>
              </w:rPr>
              <w:t>#95</w:t>
            </w:r>
          </w:p>
        </w:tc>
        <w:tc>
          <w:tcPr>
            <w:tcW w:w="9185" w:type="dxa"/>
          </w:tcPr>
          <w:p w14:paraId="5201814B" w14:textId="35BE3C83" w:rsidR="00C00570" w:rsidRPr="00E54537" w:rsidRDefault="00C00570" w:rsidP="00B96CC7">
            <w:pPr>
              <w:pStyle w:val="MDPI42tablebody"/>
              <w:jc w:val="left"/>
            </w:pPr>
            <w:r w:rsidRPr="00E54537">
              <w:rPr>
                <w:rFonts w:cs="Segoe UI"/>
                <w:color w:val="212121"/>
                <w:lang w:eastAsia="pl-PL"/>
              </w:rPr>
              <w:t>#64 AND #94</w:t>
            </w:r>
          </w:p>
        </w:tc>
      </w:tr>
    </w:tbl>
    <w:p w14:paraId="0D15F3F0" w14:textId="77777777" w:rsidR="004A2B74" w:rsidRPr="00E54537" w:rsidRDefault="004A2B74" w:rsidP="00885E3F">
      <w:pPr>
        <w:pStyle w:val="MDPI41tablecaption"/>
        <w:ind w:left="0"/>
      </w:pPr>
    </w:p>
    <w:p w14:paraId="72A15666" w14:textId="77777777" w:rsidR="00885E3F" w:rsidRPr="00E54537" w:rsidRDefault="00885E3F" w:rsidP="00885E3F">
      <w:pPr>
        <w:pStyle w:val="MDPI31text"/>
      </w:pPr>
    </w:p>
    <w:p w14:paraId="1A2396AC" w14:textId="7AF565BB" w:rsidR="00885E3F" w:rsidRPr="00E54537" w:rsidRDefault="00885E3F">
      <w:pPr>
        <w:spacing w:line="240" w:lineRule="auto"/>
        <w:jc w:val="left"/>
        <w:rPr>
          <w:rFonts w:eastAsia="Times New Roman"/>
          <w:snapToGrid w:val="0"/>
          <w:szCs w:val="22"/>
          <w:lang w:eastAsia="de-DE" w:bidi="en-US"/>
        </w:rPr>
      </w:pPr>
      <w:r w:rsidRPr="00E54537">
        <w:br w:type="page"/>
      </w:r>
    </w:p>
    <w:p w14:paraId="631AB975" w14:textId="1C28E85F" w:rsidR="000B1F27" w:rsidRPr="00E54537" w:rsidRDefault="000B1F27" w:rsidP="000B1F27">
      <w:pPr>
        <w:pStyle w:val="MDPI41tablecaption"/>
        <w:ind w:left="0"/>
      </w:pPr>
      <w:r w:rsidRPr="00E54537">
        <w:rPr>
          <w:b/>
          <w:bCs/>
        </w:rPr>
        <w:t xml:space="preserve">Supplementary Table </w:t>
      </w:r>
      <w:r w:rsidR="00885E3F" w:rsidRPr="00E54537">
        <w:rPr>
          <w:b/>
          <w:bCs/>
        </w:rPr>
        <w:t>2</w:t>
      </w:r>
      <w:r w:rsidRPr="00E54537">
        <w:rPr>
          <w:b/>
          <w:bCs/>
        </w:rPr>
        <w:t>.</w:t>
      </w:r>
      <w:r w:rsidRPr="00E54537">
        <w:t xml:space="preserve"> </w:t>
      </w:r>
      <w:bookmarkStart w:id="0" w:name="_Hlk163356970"/>
      <w:r w:rsidRPr="00E54537">
        <w:t>List of Health Technology Agencies searched.</w:t>
      </w:r>
      <w:bookmarkEnd w:id="0"/>
    </w:p>
    <w:tbl>
      <w:tblPr>
        <w:tblStyle w:val="TableGrid"/>
        <w:tblW w:w="0" w:type="auto"/>
        <w:tblLook w:val="04A0" w:firstRow="1" w:lastRow="0" w:firstColumn="1" w:lastColumn="0" w:noHBand="0" w:noVBand="1"/>
      </w:tblPr>
      <w:tblGrid>
        <w:gridCol w:w="2689"/>
        <w:gridCol w:w="7767"/>
      </w:tblGrid>
      <w:tr w:rsidR="000B1F27" w:rsidRPr="00E54537" w14:paraId="68C83106" w14:textId="77777777" w:rsidTr="000B1F27">
        <w:tc>
          <w:tcPr>
            <w:tcW w:w="2689" w:type="dxa"/>
          </w:tcPr>
          <w:p w14:paraId="0863EDF1" w14:textId="66C44A99" w:rsidR="000B1F27" w:rsidRPr="00E54537" w:rsidRDefault="000B1F27" w:rsidP="000B1F27">
            <w:pPr>
              <w:pStyle w:val="MDPI42tablebody"/>
              <w:jc w:val="left"/>
              <w:rPr>
                <w:b/>
                <w:bCs/>
              </w:rPr>
            </w:pPr>
            <w:r w:rsidRPr="00E54537">
              <w:rPr>
                <w:b/>
                <w:bCs/>
              </w:rPr>
              <w:t>Country</w:t>
            </w:r>
          </w:p>
        </w:tc>
        <w:tc>
          <w:tcPr>
            <w:tcW w:w="7767" w:type="dxa"/>
          </w:tcPr>
          <w:p w14:paraId="7CABE048" w14:textId="22000E1D" w:rsidR="000B1F27" w:rsidRPr="00E54537" w:rsidRDefault="000B1F27" w:rsidP="000B1F27">
            <w:pPr>
              <w:pStyle w:val="MDPI42tablebody"/>
              <w:jc w:val="left"/>
              <w:rPr>
                <w:b/>
                <w:bCs/>
              </w:rPr>
            </w:pPr>
            <w:r w:rsidRPr="00E54537">
              <w:rPr>
                <w:b/>
                <w:bCs/>
              </w:rPr>
              <w:t>Health Technology Agency</w:t>
            </w:r>
          </w:p>
        </w:tc>
      </w:tr>
      <w:tr w:rsidR="000B1F27" w:rsidRPr="00E54537" w14:paraId="2289D172" w14:textId="77777777" w:rsidTr="000B1F27">
        <w:tc>
          <w:tcPr>
            <w:tcW w:w="2689" w:type="dxa"/>
            <w:vAlign w:val="center"/>
          </w:tcPr>
          <w:p w14:paraId="630DB195" w14:textId="0541ADA2" w:rsidR="000B1F27" w:rsidRPr="00E54537" w:rsidRDefault="000B1F27" w:rsidP="000B1F27">
            <w:pPr>
              <w:pStyle w:val="MDPI42tablebody"/>
              <w:jc w:val="left"/>
            </w:pPr>
            <w:r w:rsidRPr="00E54537">
              <w:t>International Organizations</w:t>
            </w:r>
          </w:p>
        </w:tc>
        <w:tc>
          <w:tcPr>
            <w:tcW w:w="7767" w:type="dxa"/>
            <w:vAlign w:val="center"/>
          </w:tcPr>
          <w:p w14:paraId="1F628B61" w14:textId="202D109A" w:rsidR="000B1F27" w:rsidRPr="00E54537" w:rsidRDefault="000B1F27" w:rsidP="000B1F27">
            <w:pPr>
              <w:pStyle w:val="MDPI42tablebody"/>
              <w:jc w:val="left"/>
            </w:pPr>
            <w:r w:rsidRPr="00E54537">
              <w:t>International Network of Agencies for Health Technology Assessment; (INAHTA), World Health Organization, Our World in Data</w:t>
            </w:r>
          </w:p>
        </w:tc>
      </w:tr>
      <w:tr w:rsidR="000B1F27" w:rsidRPr="00E54537" w14:paraId="25CCB8FB" w14:textId="77777777" w:rsidTr="000B1F27">
        <w:tc>
          <w:tcPr>
            <w:tcW w:w="2689" w:type="dxa"/>
            <w:vAlign w:val="center"/>
          </w:tcPr>
          <w:p w14:paraId="1C34C7A6" w14:textId="168516B9" w:rsidR="000B1F27" w:rsidRPr="00E54537" w:rsidRDefault="000B1F27" w:rsidP="000B1F27">
            <w:pPr>
              <w:pStyle w:val="MDPI42tablebody"/>
              <w:jc w:val="left"/>
            </w:pPr>
            <w:r w:rsidRPr="00E54537">
              <w:t>UK</w:t>
            </w:r>
          </w:p>
        </w:tc>
        <w:tc>
          <w:tcPr>
            <w:tcW w:w="7767" w:type="dxa"/>
            <w:vAlign w:val="center"/>
          </w:tcPr>
          <w:p w14:paraId="2FDBFEDA" w14:textId="1ABCFFE1" w:rsidR="000B1F27" w:rsidRPr="00E54537" w:rsidRDefault="000B1F27" w:rsidP="000B1F27">
            <w:pPr>
              <w:pStyle w:val="MDPI42tablebody"/>
              <w:jc w:val="left"/>
            </w:pPr>
            <w:r w:rsidRPr="00E54537">
              <w:t>National Institute for Health and Care Excellence (NICE), Health Technology Wales (HTW), Scottish Medicines Consortium (SMC), All Wales Medicines Strategy Group (AWMSG), National Institute for Health Research (NIHR), Health Information and Quality Authority (HIQA)</w:t>
            </w:r>
          </w:p>
        </w:tc>
      </w:tr>
      <w:tr w:rsidR="000B1F27" w:rsidRPr="00E54537" w14:paraId="3B5FB9E9" w14:textId="77777777" w:rsidTr="000B1F27">
        <w:tc>
          <w:tcPr>
            <w:tcW w:w="2689" w:type="dxa"/>
            <w:vAlign w:val="center"/>
          </w:tcPr>
          <w:p w14:paraId="39E1291C" w14:textId="5EBB67DB" w:rsidR="000B1F27" w:rsidRPr="00E54537" w:rsidRDefault="000B1F27" w:rsidP="000B1F27">
            <w:pPr>
              <w:pStyle w:val="MDPI42tablebody"/>
              <w:jc w:val="left"/>
            </w:pPr>
            <w:r w:rsidRPr="00E54537">
              <w:t>France</w:t>
            </w:r>
          </w:p>
        </w:tc>
        <w:tc>
          <w:tcPr>
            <w:tcW w:w="7767" w:type="dxa"/>
            <w:vAlign w:val="center"/>
          </w:tcPr>
          <w:p w14:paraId="0DF2EC4B" w14:textId="37E39986" w:rsidR="000B1F27" w:rsidRPr="00E54537" w:rsidRDefault="000B1F27" w:rsidP="000B1F27">
            <w:pPr>
              <w:pStyle w:val="MDPI42tablebody"/>
              <w:jc w:val="left"/>
            </w:pPr>
            <w:r w:rsidRPr="00E54537">
              <w:t>Haute Autorité de Santé (HAS)</w:t>
            </w:r>
          </w:p>
        </w:tc>
      </w:tr>
      <w:tr w:rsidR="000B1F27" w:rsidRPr="00E54537" w14:paraId="0AEE46E7" w14:textId="77777777" w:rsidTr="000B1F27">
        <w:tc>
          <w:tcPr>
            <w:tcW w:w="2689" w:type="dxa"/>
            <w:vAlign w:val="center"/>
          </w:tcPr>
          <w:p w14:paraId="626BF01E" w14:textId="323B1E2E" w:rsidR="000B1F27" w:rsidRPr="00E54537" w:rsidRDefault="000B1F27" w:rsidP="000B1F27">
            <w:pPr>
              <w:pStyle w:val="MDPI42tablebody"/>
              <w:jc w:val="left"/>
            </w:pPr>
            <w:r w:rsidRPr="00E54537">
              <w:t>Germany</w:t>
            </w:r>
          </w:p>
        </w:tc>
        <w:tc>
          <w:tcPr>
            <w:tcW w:w="7767" w:type="dxa"/>
            <w:vAlign w:val="center"/>
          </w:tcPr>
          <w:p w14:paraId="61E78BE2" w14:textId="33721617" w:rsidR="000B1F27" w:rsidRPr="00E54537" w:rsidRDefault="000B1F27" w:rsidP="000B1F27">
            <w:pPr>
              <w:pStyle w:val="MDPI42tablebody"/>
              <w:jc w:val="left"/>
            </w:pPr>
            <w:r w:rsidRPr="00E54537">
              <w:t>Gemeinsame Bundesausschuss (G-BA), Institute for Quality and Efficiency in Health Care (IQWIG), German HTA Agency at the German Institute for Medical Documentation and Information (DAHTA at DIMDI), Robert Koch Institute (RKI)</w:t>
            </w:r>
          </w:p>
        </w:tc>
      </w:tr>
      <w:tr w:rsidR="000B1F27" w:rsidRPr="00E54537" w14:paraId="6503468D" w14:textId="77777777" w:rsidTr="000B1F27">
        <w:tc>
          <w:tcPr>
            <w:tcW w:w="2689" w:type="dxa"/>
            <w:vAlign w:val="center"/>
          </w:tcPr>
          <w:p w14:paraId="6C34FDD1" w14:textId="19185B22" w:rsidR="000B1F27" w:rsidRPr="00E54537" w:rsidRDefault="000B1F27" w:rsidP="000B1F27">
            <w:pPr>
              <w:pStyle w:val="MDPI42tablebody"/>
              <w:jc w:val="left"/>
            </w:pPr>
            <w:r w:rsidRPr="00E54537">
              <w:t>Spain</w:t>
            </w:r>
          </w:p>
        </w:tc>
        <w:tc>
          <w:tcPr>
            <w:tcW w:w="7767" w:type="dxa"/>
            <w:vAlign w:val="center"/>
          </w:tcPr>
          <w:p w14:paraId="47FA3655" w14:textId="7D679E67" w:rsidR="000B1F27" w:rsidRPr="00E54537" w:rsidRDefault="000B1F27" w:rsidP="000B1F27">
            <w:pPr>
              <w:pStyle w:val="MDPI42tablebody"/>
              <w:jc w:val="left"/>
            </w:pPr>
            <w:r w:rsidRPr="00E54537">
              <w:t>Agencia Española de Medicamentos y Productos Sanitarios (AEMPS), IInstituto de Salud Carlos III - The Carlos III Health Institute (ISCIII), Andalusian HTA Agency (AETSA), Galician HTA Agency (AVALIA-T), Catalan Agency for Health Information, Assessment and Quality (AQuAS), HTA Unit in Madrid (UETS-Madrit), Basque HTA Office (OSTEBA)</w:t>
            </w:r>
          </w:p>
        </w:tc>
      </w:tr>
      <w:tr w:rsidR="000B1F27" w:rsidRPr="00E54537" w14:paraId="4FD176D4" w14:textId="77777777" w:rsidTr="000B1F27">
        <w:tc>
          <w:tcPr>
            <w:tcW w:w="2689" w:type="dxa"/>
            <w:vAlign w:val="center"/>
          </w:tcPr>
          <w:p w14:paraId="576311CA" w14:textId="2E596E74" w:rsidR="000B1F27" w:rsidRPr="00E54537" w:rsidRDefault="000B1F27" w:rsidP="000B1F27">
            <w:pPr>
              <w:pStyle w:val="MDPI41tablecaption"/>
              <w:ind w:left="0"/>
              <w:jc w:val="left"/>
            </w:pPr>
            <w:r w:rsidRPr="00E54537">
              <w:t>Italy</w:t>
            </w:r>
          </w:p>
        </w:tc>
        <w:tc>
          <w:tcPr>
            <w:tcW w:w="7767" w:type="dxa"/>
            <w:vAlign w:val="center"/>
          </w:tcPr>
          <w:p w14:paraId="0EAE4D20" w14:textId="23883D2D" w:rsidR="000B1F27" w:rsidRPr="00E54537" w:rsidRDefault="000B1F27" w:rsidP="000B1F27">
            <w:pPr>
              <w:pStyle w:val="MDPI42tablebody"/>
              <w:jc w:val="left"/>
            </w:pPr>
            <w:r w:rsidRPr="00E54537">
              <w:t>Italian Medicines Agency (it. Agenzia Italiana Del Farmaco, AIFA), Regional coordination for medicines (CRUF), Regional Health Agency in Emilia Romagna (ER Salute), Regional Technical and Administrative Support Body of the Tuscan Health (ESTAR)</w:t>
            </w:r>
          </w:p>
        </w:tc>
      </w:tr>
      <w:tr w:rsidR="000B1F27" w:rsidRPr="00E54537" w14:paraId="087590AA" w14:textId="77777777" w:rsidTr="000B1F27">
        <w:tc>
          <w:tcPr>
            <w:tcW w:w="2689" w:type="dxa"/>
            <w:vAlign w:val="center"/>
          </w:tcPr>
          <w:p w14:paraId="31C87151" w14:textId="331CF918" w:rsidR="000B1F27" w:rsidRPr="00E54537" w:rsidRDefault="000B1F27" w:rsidP="000B1F27">
            <w:pPr>
              <w:pStyle w:val="MDPI41tablecaption"/>
              <w:ind w:left="0"/>
              <w:jc w:val="left"/>
            </w:pPr>
            <w:r w:rsidRPr="00E54537">
              <w:t>Korea</w:t>
            </w:r>
          </w:p>
        </w:tc>
        <w:tc>
          <w:tcPr>
            <w:tcW w:w="7767" w:type="dxa"/>
            <w:vAlign w:val="center"/>
          </w:tcPr>
          <w:p w14:paraId="71B00325" w14:textId="5DCCA0BF" w:rsidR="000B1F27" w:rsidRPr="00E54537" w:rsidRDefault="000B1F27" w:rsidP="000B1F27">
            <w:pPr>
              <w:pStyle w:val="MDPI42tablebody"/>
              <w:jc w:val="left"/>
            </w:pPr>
            <w:r w:rsidRPr="00E54537">
              <w:t>National Evidence-based Healthcare Collaborating Agency (NECA)</w:t>
            </w:r>
          </w:p>
        </w:tc>
      </w:tr>
      <w:tr w:rsidR="000B1F27" w:rsidRPr="00E54537" w14:paraId="6216A770" w14:textId="77777777" w:rsidTr="000B1F27">
        <w:tc>
          <w:tcPr>
            <w:tcW w:w="2689" w:type="dxa"/>
            <w:vAlign w:val="center"/>
          </w:tcPr>
          <w:p w14:paraId="2F13A36E" w14:textId="7A507ABC" w:rsidR="000B1F27" w:rsidRPr="00E54537" w:rsidRDefault="000B1F27" w:rsidP="000B1F27">
            <w:pPr>
              <w:pStyle w:val="MDPI41tablecaption"/>
              <w:ind w:left="0"/>
              <w:jc w:val="left"/>
            </w:pPr>
            <w:r w:rsidRPr="00E54537">
              <w:t>Taiwan</w:t>
            </w:r>
          </w:p>
        </w:tc>
        <w:tc>
          <w:tcPr>
            <w:tcW w:w="7767" w:type="dxa"/>
            <w:vAlign w:val="center"/>
          </w:tcPr>
          <w:p w14:paraId="1F718C0E" w14:textId="3D1EE239" w:rsidR="000B1F27" w:rsidRPr="00E54537" w:rsidRDefault="000B1F27" w:rsidP="000B1F27">
            <w:pPr>
              <w:pStyle w:val="MDPI42tablebody"/>
              <w:jc w:val="left"/>
            </w:pPr>
            <w:r w:rsidRPr="00E54537">
              <w:t>Center for Drug Evaluation (CDE)</w:t>
            </w:r>
          </w:p>
        </w:tc>
      </w:tr>
      <w:tr w:rsidR="000B1F27" w:rsidRPr="00E54537" w14:paraId="55E54F5F" w14:textId="77777777" w:rsidTr="000B1F27">
        <w:tc>
          <w:tcPr>
            <w:tcW w:w="2689" w:type="dxa"/>
            <w:vAlign w:val="center"/>
          </w:tcPr>
          <w:p w14:paraId="3401D6B9" w14:textId="4F1BC29F" w:rsidR="000B1F27" w:rsidRPr="00E54537" w:rsidRDefault="000B1F27" w:rsidP="000B1F27">
            <w:pPr>
              <w:pStyle w:val="MDPI41tablecaption"/>
              <w:ind w:left="0"/>
              <w:jc w:val="left"/>
            </w:pPr>
            <w:r w:rsidRPr="00E54537">
              <w:t>Japan</w:t>
            </w:r>
          </w:p>
        </w:tc>
        <w:tc>
          <w:tcPr>
            <w:tcW w:w="7767" w:type="dxa"/>
            <w:vAlign w:val="center"/>
          </w:tcPr>
          <w:p w14:paraId="45973BFE" w14:textId="66502E58" w:rsidR="000B1F27" w:rsidRPr="00E54537" w:rsidRDefault="000B1F27" w:rsidP="000B1F27">
            <w:pPr>
              <w:pStyle w:val="MDPI42tablebody"/>
              <w:jc w:val="left"/>
            </w:pPr>
            <w:r w:rsidRPr="00E54537">
              <w:t>Center for Outcomes Research and Economic Evaluation for Health in Japan (C2H)</w:t>
            </w:r>
          </w:p>
        </w:tc>
      </w:tr>
      <w:tr w:rsidR="000B1F27" w:rsidRPr="00E54537" w14:paraId="41CA9FDB" w14:textId="77777777" w:rsidTr="000B1F27">
        <w:tc>
          <w:tcPr>
            <w:tcW w:w="2689" w:type="dxa"/>
            <w:vAlign w:val="center"/>
          </w:tcPr>
          <w:p w14:paraId="7AE8C703" w14:textId="5352596E" w:rsidR="000B1F27" w:rsidRPr="00E54537" w:rsidRDefault="000B1F27" w:rsidP="000B1F27">
            <w:pPr>
              <w:pStyle w:val="MDPI41tablecaption"/>
              <w:ind w:left="0"/>
              <w:jc w:val="left"/>
            </w:pPr>
            <w:r w:rsidRPr="00E54537">
              <w:t>Australia</w:t>
            </w:r>
          </w:p>
        </w:tc>
        <w:tc>
          <w:tcPr>
            <w:tcW w:w="7767" w:type="dxa"/>
            <w:vAlign w:val="center"/>
          </w:tcPr>
          <w:p w14:paraId="4F27B7FF" w14:textId="290D0D54" w:rsidR="000B1F27" w:rsidRPr="00E54537" w:rsidRDefault="000B1F27" w:rsidP="000B1F27">
            <w:pPr>
              <w:pStyle w:val="MDPI42tablebody"/>
              <w:jc w:val="left"/>
            </w:pPr>
            <w:r w:rsidRPr="00E54537">
              <w:t xml:space="preserve">Pharmaceutical Benefits Advisory Committee (PBAC), </w:t>
            </w:r>
            <w:r w:rsidRPr="00E54537">
              <w:rPr>
                <w:rFonts w:eastAsia="SimSun"/>
                <w:snapToGrid/>
                <w:lang w:eastAsia="zh-CN" w:bidi="ar-SA"/>
              </w:rPr>
              <w:t>Adelaide Health Technology Assessment (AHTA)</w:t>
            </w:r>
          </w:p>
        </w:tc>
      </w:tr>
      <w:tr w:rsidR="000B1F27" w:rsidRPr="00E54537" w14:paraId="4845BF3D" w14:textId="77777777" w:rsidTr="000B1F27">
        <w:tc>
          <w:tcPr>
            <w:tcW w:w="2689" w:type="dxa"/>
            <w:vAlign w:val="center"/>
          </w:tcPr>
          <w:p w14:paraId="37DFC381" w14:textId="4CA489C0" w:rsidR="000B1F27" w:rsidRPr="00E54537" w:rsidRDefault="000B1F27" w:rsidP="000B1F27">
            <w:pPr>
              <w:pStyle w:val="MDPI41tablecaption"/>
              <w:ind w:left="0"/>
              <w:jc w:val="left"/>
            </w:pPr>
            <w:r w:rsidRPr="00E54537">
              <w:t>US</w:t>
            </w:r>
          </w:p>
        </w:tc>
        <w:tc>
          <w:tcPr>
            <w:tcW w:w="7767" w:type="dxa"/>
            <w:vAlign w:val="center"/>
          </w:tcPr>
          <w:p w14:paraId="1E5BF153" w14:textId="4DF772DD" w:rsidR="000B1F27" w:rsidRPr="00E54537" w:rsidRDefault="000B1F27" w:rsidP="000B1F27">
            <w:pPr>
              <w:pStyle w:val="MDPI42tablebody"/>
              <w:jc w:val="left"/>
            </w:pPr>
            <w:r w:rsidRPr="00E54537">
              <w:t xml:space="preserve">Agency for Healthcare Research and Quality (AHRQ), </w:t>
            </w:r>
            <w:r w:rsidRPr="00E54537">
              <w:rPr>
                <w:rFonts w:eastAsia="SimSun"/>
                <w:snapToGrid/>
                <w:lang w:eastAsia="zh-CN" w:bidi="ar-SA"/>
              </w:rPr>
              <w:t>Institute for Clinical and Economic Review (ICER)</w:t>
            </w:r>
          </w:p>
        </w:tc>
      </w:tr>
      <w:tr w:rsidR="000B1F27" w:rsidRPr="00E54537" w14:paraId="12E661D3" w14:textId="77777777" w:rsidTr="000B1F27">
        <w:tc>
          <w:tcPr>
            <w:tcW w:w="2689" w:type="dxa"/>
            <w:vAlign w:val="center"/>
          </w:tcPr>
          <w:p w14:paraId="07EC8CB0" w14:textId="76212539" w:rsidR="000B1F27" w:rsidRPr="00E54537" w:rsidRDefault="000B1F27" w:rsidP="000B1F27">
            <w:pPr>
              <w:pStyle w:val="MDPI41tablecaption"/>
              <w:ind w:left="0"/>
              <w:jc w:val="left"/>
            </w:pPr>
            <w:r w:rsidRPr="00E54537">
              <w:t>Canada</w:t>
            </w:r>
          </w:p>
        </w:tc>
        <w:tc>
          <w:tcPr>
            <w:tcW w:w="7767" w:type="dxa"/>
            <w:vAlign w:val="center"/>
          </w:tcPr>
          <w:p w14:paraId="18DDDFFB" w14:textId="721245E3" w:rsidR="000B1F27" w:rsidRPr="00E54537" w:rsidRDefault="000B1F27" w:rsidP="000B1F27">
            <w:pPr>
              <w:pStyle w:val="MDPI42tablebody"/>
              <w:jc w:val="left"/>
            </w:pPr>
            <w:r w:rsidRPr="00E54537">
              <w:t>Canadian Agency for Drugs and Technologies in Health (CADTH)</w:t>
            </w:r>
          </w:p>
        </w:tc>
      </w:tr>
      <w:tr w:rsidR="000B1F27" w:rsidRPr="00E54537" w14:paraId="184343EF" w14:textId="77777777" w:rsidTr="000B1F27">
        <w:tc>
          <w:tcPr>
            <w:tcW w:w="2689" w:type="dxa"/>
            <w:vAlign w:val="center"/>
          </w:tcPr>
          <w:p w14:paraId="3B2B864B" w14:textId="3C845AAC" w:rsidR="000B1F27" w:rsidRPr="00E54537" w:rsidRDefault="000B1F27" w:rsidP="000B1F27">
            <w:pPr>
              <w:pStyle w:val="MDPI41tablecaption"/>
              <w:ind w:left="0"/>
              <w:jc w:val="left"/>
            </w:pPr>
            <w:r w:rsidRPr="00E54537">
              <w:t>Israel</w:t>
            </w:r>
          </w:p>
        </w:tc>
        <w:tc>
          <w:tcPr>
            <w:tcW w:w="7767" w:type="dxa"/>
            <w:vAlign w:val="center"/>
          </w:tcPr>
          <w:p w14:paraId="0FCBCB4F" w14:textId="0C42A445" w:rsidR="000B1F27" w:rsidRPr="00E54537" w:rsidRDefault="000B1F27" w:rsidP="000B1F27">
            <w:pPr>
              <w:pStyle w:val="MDPI42tablebody"/>
              <w:jc w:val="left"/>
            </w:pPr>
            <w:r w:rsidRPr="00E54537">
              <w:t>Israeli Center for Technology Assessment in Health Care (ICTAHC)</w:t>
            </w:r>
          </w:p>
        </w:tc>
      </w:tr>
    </w:tbl>
    <w:p w14:paraId="48273DCD" w14:textId="0D04F667" w:rsidR="00885E3F" w:rsidRPr="00E54537" w:rsidRDefault="00885E3F" w:rsidP="000B1F27">
      <w:pPr>
        <w:pStyle w:val="MDPI41tablecaption"/>
        <w:ind w:left="0"/>
      </w:pPr>
    </w:p>
    <w:p w14:paraId="126D767B" w14:textId="77777777" w:rsidR="00885E3F" w:rsidRPr="00E54537" w:rsidRDefault="00885E3F">
      <w:pPr>
        <w:spacing w:line="240" w:lineRule="auto"/>
        <w:jc w:val="left"/>
        <w:rPr>
          <w:rFonts w:eastAsia="Times New Roman" w:cs="Cordia New"/>
          <w:sz w:val="18"/>
          <w:szCs w:val="22"/>
          <w:lang w:eastAsia="de-DE" w:bidi="en-US"/>
        </w:rPr>
      </w:pPr>
      <w:r w:rsidRPr="00E54537">
        <w:br w:type="page"/>
      </w:r>
    </w:p>
    <w:p w14:paraId="2E233480" w14:textId="1297DFEE" w:rsidR="00885E3F" w:rsidRPr="00E54537" w:rsidRDefault="00885E3F" w:rsidP="00885E3F">
      <w:pPr>
        <w:pStyle w:val="MDPI41tablecaption"/>
        <w:ind w:left="0"/>
      </w:pPr>
      <w:r w:rsidRPr="00E54537">
        <w:rPr>
          <w:b/>
          <w:bCs/>
        </w:rPr>
        <w:t>Supplementary Table 3.</w:t>
      </w:r>
      <w:r w:rsidRPr="00E54537">
        <w:t xml:space="preserve"> </w:t>
      </w:r>
      <w:r w:rsidR="00767BE1" w:rsidRPr="00E54537">
        <w:t>Search queries used in</w:t>
      </w:r>
      <w:r w:rsidRPr="00E54537">
        <w:t xml:space="preserve"> additional searches.</w:t>
      </w:r>
    </w:p>
    <w:tbl>
      <w:tblPr>
        <w:tblStyle w:val="TableGrid"/>
        <w:tblW w:w="0" w:type="auto"/>
        <w:tblLook w:val="04A0" w:firstRow="1" w:lastRow="0" w:firstColumn="1" w:lastColumn="0" w:noHBand="0" w:noVBand="1"/>
      </w:tblPr>
      <w:tblGrid>
        <w:gridCol w:w="2689"/>
        <w:gridCol w:w="7767"/>
      </w:tblGrid>
      <w:tr w:rsidR="00885E3F" w:rsidRPr="00E54537" w14:paraId="38EB5BC0" w14:textId="77777777">
        <w:tc>
          <w:tcPr>
            <w:tcW w:w="2689" w:type="dxa"/>
          </w:tcPr>
          <w:p w14:paraId="17A1D557" w14:textId="64B573D8" w:rsidR="00885E3F" w:rsidRPr="00E54537" w:rsidRDefault="00885E3F">
            <w:pPr>
              <w:pStyle w:val="MDPI42tablebody"/>
              <w:jc w:val="left"/>
              <w:rPr>
                <w:b/>
                <w:bCs/>
              </w:rPr>
            </w:pPr>
            <w:r w:rsidRPr="00E54537">
              <w:rPr>
                <w:b/>
                <w:bCs/>
              </w:rPr>
              <w:t>Source</w:t>
            </w:r>
          </w:p>
        </w:tc>
        <w:tc>
          <w:tcPr>
            <w:tcW w:w="7767" w:type="dxa"/>
          </w:tcPr>
          <w:p w14:paraId="36821EFB" w14:textId="65601C6F" w:rsidR="00885E3F" w:rsidRPr="00E54537" w:rsidRDefault="00885E3F">
            <w:pPr>
              <w:pStyle w:val="MDPI42tablebody"/>
              <w:jc w:val="left"/>
              <w:rPr>
                <w:b/>
                <w:bCs/>
              </w:rPr>
            </w:pPr>
            <w:r w:rsidRPr="00E54537">
              <w:rPr>
                <w:b/>
                <w:bCs/>
              </w:rPr>
              <w:t xml:space="preserve">Search </w:t>
            </w:r>
            <w:r w:rsidR="00767BE1" w:rsidRPr="00E54537">
              <w:rPr>
                <w:b/>
                <w:bCs/>
              </w:rPr>
              <w:t>terms</w:t>
            </w:r>
          </w:p>
        </w:tc>
      </w:tr>
      <w:tr w:rsidR="00885E3F" w:rsidRPr="00E54537" w14:paraId="0F536946" w14:textId="77777777">
        <w:tc>
          <w:tcPr>
            <w:tcW w:w="2689" w:type="dxa"/>
            <w:vAlign w:val="center"/>
          </w:tcPr>
          <w:p w14:paraId="382BA30D" w14:textId="7699671C" w:rsidR="00885E3F" w:rsidRPr="00E54537" w:rsidRDefault="00767BE1">
            <w:pPr>
              <w:pStyle w:val="MDPI42tablebody"/>
              <w:jc w:val="left"/>
            </w:pPr>
            <w:r w:rsidRPr="00E54537">
              <w:t>Google Scholar</w:t>
            </w:r>
          </w:p>
        </w:tc>
        <w:tc>
          <w:tcPr>
            <w:tcW w:w="7767" w:type="dxa"/>
            <w:vAlign w:val="center"/>
          </w:tcPr>
          <w:p w14:paraId="386603FF" w14:textId="77777777" w:rsidR="00767BE1" w:rsidRPr="00E54537" w:rsidRDefault="00767BE1" w:rsidP="00CD0FF8">
            <w:pPr>
              <w:pStyle w:val="MDPI42tablebody"/>
              <w:numPr>
                <w:ilvl w:val="0"/>
                <w:numId w:val="26"/>
              </w:numPr>
              <w:ind w:left="340" w:hanging="170"/>
              <w:jc w:val="left"/>
            </w:pPr>
            <w:r w:rsidRPr="00E54537">
              <w:t>healthcare cost "long covid"</w:t>
            </w:r>
          </w:p>
          <w:p w14:paraId="3CB41964" w14:textId="77777777" w:rsidR="00767BE1" w:rsidRPr="00E54537" w:rsidRDefault="00767BE1" w:rsidP="00CD0FF8">
            <w:pPr>
              <w:pStyle w:val="MDPI42tablebody"/>
              <w:numPr>
                <w:ilvl w:val="0"/>
                <w:numId w:val="26"/>
              </w:numPr>
              <w:ind w:left="340" w:hanging="170"/>
              <w:jc w:val="left"/>
            </w:pPr>
            <w:r w:rsidRPr="00E54537">
              <w:t>healthcare cost "post covid”</w:t>
            </w:r>
          </w:p>
          <w:p w14:paraId="643EDD4E" w14:textId="77777777" w:rsidR="00767BE1" w:rsidRPr="00E54537" w:rsidRDefault="00767BE1" w:rsidP="00CD0FF8">
            <w:pPr>
              <w:pStyle w:val="MDPI42tablebody"/>
              <w:numPr>
                <w:ilvl w:val="0"/>
                <w:numId w:val="26"/>
              </w:numPr>
              <w:ind w:left="340" w:hanging="170"/>
              <w:jc w:val="left"/>
            </w:pPr>
            <w:r w:rsidRPr="00E54537">
              <w:t>healthcare cost "post covid syndrome”</w:t>
            </w:r>
          </w:p>
          <w:p w14:paraId="5ABCDA38" w14:textId="77777777" w:rsidR="00767BE1" w:rsidRPr="00E54537" w:rsidRDefault="00767BE1" w:rsidP="00CD0FF8">
            <w:pPr>
              <w:pStyle w:val="MDPI42tablebody"/>
              <w:numPr>
                <w:ilvl w:val="0"/>
                <w:numId w:val="26"/>
              </w:numPr>
              <w:ind w:left="340" w:hanging="170"/>
              <w:jc w:val="left"/>
            </w:pPr>
            <w:r w:rsidRPr="00E54537">
              <w:t>healthcare utilisation "long covid“</w:t>
            </w:r>
          </w:p>
          <w:p w14:paraId="1A0C6ADE" w14:textId="77777777" w:rsidR="00767BE1" w:rsidRPr="00E54537" w:rsidRDefault="00767BE1" w:rsidP="00CD0FF8">
            <w:pPr>
              <w:pStyle w:val="MDPI42tablebody"/>
              <w:numPr>
                <w:ilvl w:val="0"/>
                <w:numId w:val="26"/>
              </w:numPr>
              <w:ind w:left="340" w:hanging="170"/>
              <w:jc w:val="left"/>
            </w:pPr>
            <w:r w:rsidRPr="00E54537">
              <w:t>healthcare utilisation "post covid syndrome“</w:t>
            </w:r>
          </w:p>
          <w:p w14:paraId="696C75ED" w14:textId="77777777" w:rsidR="00767BE1" w:rsidRPr="00E54537" w:rsidRDefault="00767BE1" w:rsidP="00CD0FF8">
            <w:pPr>
              <w:pStyle w:val="MDPI42tablebody"/>
              <w:numPr>
                <w:ilvl w:val="0"/>
                <w:numId w:val="26"/>
              </w:numPr>
              <w:ind w:left="340" w:hanging="170"/>
              <w:jc w:val="left"/>
            </w:pPr>
            <w:r w:rsidRPr="00E54537">
              <w:t>healthcare utilization "long covid”</w:t>
            </w:r>
          </w:p>
          <w:p w14:paraId="00F4F68B" w14:textId="77777777" w:rsidR="00767BE1" w:rsidRPr="00E54537" w:rsidRDefault="00767BE1" w:rsidP="00CD0FF8">
            <w:pPr>
              <w:pStyle w:val="MDPI42tablebody"/>
              <w:numPr>
                <w:ilvl w:val="0"/>
                <w:numId w:val="26"/>
              </w:numPr>
              <w:ind w:left="340" w:hanging="170"/>
              <w:jc w:val="left"/>
            </w:pPr>
            <w:r w:rsidRPr="00E54537">
              <w:t>healthcare utilization "post covid syndrome"</w:t>
            </w:r>
          </w:p>
          <w:p w14:paraId="7D1AFC71" w14:textId="3AF08689" w:rsidR="00885E3F" w:rsidRPr="00E54537" w:rsidRDefault="00885E3F">
            <w:pPr>
              <w:pStyle w:val="MDPI42tablebody"/>
              <w:jc w:val="left"/>
            </w:pPr>
          </w:p>
        </w:tc>
      </w:tr>
      <w:tr w:rsidR="00885E3F" w:rsidRPr="00E54537" w14:paraId="5467A518" w14:textId="77777777">
        <w:tc>
          <w:tcPr>
            <w:tcW w:w="2689" w:type="dxa"/>
            <w:vAlign w:val="center"/>
          </w:tcPr>
          <w:p w14:paraId="0DFA5D67" w14:textId="7F130483" w:rsidR="00885E3F" w:rsidRPr="00E54537" w:rsidRDefault="00CD0FF8">
            <w:pPr>
              <w:pStyle w:val="MDPI42tablebody"/>
              <w:jc w:val="left"/>
            </w:pPr>
            <w:r w:rsidRPr="00E54537">
              <w:t>medRxiv and SSRN</w:t>
            </w:r>
          </w:p>
        </w:tc>
        <w:tc>
          <w:tcPr>
            <w:tcW w:w="7767" w:type="dxa"/>
            <w:vAlign w:val="center"/>
          </w:tcPr>
          <w:p w14:paraId="33CF2D31" w14:textId="77777777" w:rsidR="00CD0FF8" w:rsidRPr="00E54537" w:rsidRDefault="00CD0FF8" w:rsidP="00CD0FF8">
            <w:pPr>
              <w:pStyle w:val="MDPI42tablebody"/>
              <w:numPr>
                <w:ilvl w:val="0"/>
                <w:numId w:val="26"/>
              </w:numPr>
              <w:ind w:left="340" w:hanging="170"/>
              <w:jc w:val="left"/>
            </w:pPr>
            <w:r w:rsidRPr="00E54537">
              <w:t xml:space="preserve">One of the following: “long covid”, “post covid”, ”post acute COVID sequelae” “sequelae of covid”, </w:t>
            </w:r>
          </w:p>
          <w:p w14:paraId="58DDEA05" w14:textId="4682D1C8" w:rsidR="00885E3F" w:rsidRPr="00E54537" w:rsidRDefault="00CD0FF8" w:rsidP="00CD0FF8">
            <w:pPr>
              <w:pStyle w:val="MDPI42tablebody"/>
              <w:numPr>
                <w:ilvl w:val="0"/>
                <w:numId w:val="26"/>
              </w:numPr>
              <w:ind w:left="340" w:hanging="170"/>
              <w:jc w:val="left"/>
            </w:pPr>
            <w:r w:rsidRPr="00E54537">
              <w:t>AND one of the following: “cost”, “utilisation”, “utilization”, “HCRU”, “economic”, “expenditure”, “spending”</w:t>
            </w:r>
          </w:p>
        </w:tc>
      </w:tr>
    </w:tbl>
    <w:p w14:paraId="1ADF8BDA" w14:textId="42ACCE2C" w:rsidR="00C833C0" w:rsidRPr="00E54537" w:rsidRDefault="00C833C0" w:rsidP="000B1F27">
      <w:pPr>
        <w:pStyle w:val="MDPI41tablecaption"/>
        <w:ind w:left="0"/>
      </w:pPr>
    </w:p>
    <w:p w14:paraId="37B307FF" w14:textId="77777777" w:rsidR="00785D38" w:rsidRPr="00E54537" w:rsidRDefault="00785D38">
      <w:pPr>
        <w:spacing w:line="240" w:lineRule="auto"/>
        <w:jc w:val="left"/>
      </w:pPr>
      <w:r w:rsidRPr="00E54537">
        <w:br w:type="page"/>
      </w:r>
    </w:p>
    <w:p w14:paraId="0DD235CE" w14:textId="6CBC4293" w:rsidR="00785D38" w:rsidRPr="00E54537" w:rsidRDefault="00785D38" w:rsidP="007F6CC2">
      <w:pPr>
        <w:pStyle w:val="MDPI31text"/>
        <w:ind w:left="0" w:firstLine="0"/>
      </w:pPr>
      <w:r w:rsidRPr="00E54537">
        <w:rPr>
          <w:b/>
        </w:rPr>
        <w:t>Supplementary Table 4.</w:t>
      </w:r>
      <w:r w:rsidRPr="00E54537">
        <w:t xml:space="preserve"> Definitions of long COVID used in studies that specifically considered</w:t>
      </w:r>
      <w:r w:rsidR="00C82DB7" w:rsidRPr="00E54537">
        <w:t xml:space="preserve"> HCRU and/or costs associated with</w:t>
      </w:r>
      <w:r w:rsidRPr="00E54537">
        <w:t xml:space="preserve"> long COVID.</w:t>
      </w:r>
    </w:p>
    <w:tbl>
      <w:tblPr>
        <w:tblStyle w:val="TableGrid"/>
        <w:tblW w:w="3782" w:type="pct"/>
        <w:jc w:val="center"/>
        <w:tblLook w:val="0420" w:firstRow="1" w:lastRow="0" w:firstColumn="0" w:lastColumn="0" w:noHBand="0" w:noVBand="1"/>
      </w:tblPr>
      <w:tblGrid>
        <w:gridCol w:w="1425"/>
        <w:gridCol w:w="6484"/>
      </w:tblGrid>
      <w:tr w:rsidR="00785D38" w:rsidRPr="00E54537" w14:paraId="6832260D" w14:textId="77777777" w:rsidTr="00785D38">
        <w:trPr>
          <w:jc w:val="center"/>
        </w:trPr>
        <w:tc>
          <w:tcPr>
            <w:tcW w:w="901" w:type="pct"/>
            <w:hideMark/>
          </w:tcPr>
          <w:p w14:paraId="5466E2D2" w14:textId="77777777" w:rsidR="00785D38" w:rsidRPr="00E54537" w:rsidRDefault="00785D38" w:rsidP="00E866CB">
            <w:pPr>
              <w:pStyle w:val="MDPI42tablebody"/>
              <w:jc w:val="left"/>
              <w:rPr>
                <w:b/>
                <w:bCs/>
              </w:rPr>
            </w:pPr>
            <w:r w:rsidRPr="00E54537">
              <w:rPr>
                <w:b/>
                <w:bCs/>
              </w:rPr>
              <w:t>Study</w:t>
            </w:r>
          </w:p>
        </w:tc>
        <w:tc>
          <w:tcPr>
            <w:tcW w:w="4099" w:type="pct"/>
            <w:hideMark/>
          </w:tcPr>
          <w:p w14:paraId="0A187AF8" w14:textId="77777777" w:rsidR="00785D38" w:rsidRPr="00E54537" w:rsidRDefault="00785D38" w:rsidP="00E866CB">
            <w:pPr>
              <w:pStyle w:val="MDPI42tablebody"/>
              <w:jc w:val="left"/>
              <w:rPr>
                <w:b/>
                <w:bCs/>
              </w:rPr>
            </w:pPr>
            <w:r w:rsidRPr="00E54537">
              <w:rPr>
                <w:b/>
                <w:bCs/>
              </w:rPr>
              <w:t>Definition</w:t>
            </w:r>
          </w:p>
        </w:tc>
      </w:tr>
      <w:tr w:rsidR="00785D38" w:rsidRPr="00E54537" w14:paraId="555A2864" w14:textId="77777777" w:rsidTr="00785D38">
        <w:trPr>
          <w:trHeight w:val="362"/>
          <w:jc w:val="center"/>
        </w:trPr>
        <w:tc>
          <w:tcPr>
            <w:tcW w:w="5000" w:type="pct"/>
            <w:gridSpan w:val="2"/>
            <w:hideMark/>
          </w:tcPr>
          <w:p w14:paraId="66EAB622" w14:textId="77777777" w:rsidR="00785D38" w:rsidRPr="00E54537" w:rsidRDefault="00785D38" w:rsidP="00E866CB">
            <w:pPr>
              <w:pStyle w:val="MDPI42tablebody"/>
              <w:jc w:val="left"/>
              <w:rPr>
                <w:b/>
                <w:bCs/>
              </w:rPr>
            </w:pPr>
            <w:r w:rsidRPr="00E54537">
              <w:rPr>
                <w:b/>
                <w:bCs/>
              </w:rPr>
              <w:t>Symptom-based definitions (12 studies)</w:t>
            </w:r>
          </w:p>
        </w:tc>
      </w:tr>
      <w:tr w:rsidR="00785D38" w:rsidRPr="00E54537" w14:paraId="2B42060D" w14:textId="77777777" w:rsidTr="00785D38">
        <w:trPr>
          <w:trHeight w:val="766"/>
          <w:jc w:val="center"/>
        </w:trPr>
        <w:tc>
          <w:tcPr>
            <w:tcW w:w="901" w:type="pct"/>
            <w:hideMark/>
          </w:tcPr>
          <w:p w14:paraId="7ECC6FB2" w14:textId="4FE1A610" w:rsidR="00785D38" w:rsidRPr="00E54537" w:rsidRDefault="00785D38" w:rsidP="00E866CB">
            <w:pPr>
              <w:pStyle w:val="MDPI42tablebody"/>
              <w:jc w:val="left"/>
            </w:pPr>
            <w:r w:rsidRPr="00E54537">
              <w:t xml:space="preserve">Abdullah 2023 </w:t>
            </w:r>
            <w:r w:rsidRPr="00E54537">
              <w:fldChar w:fldCharType="begin">
                <w:fldData xml:space="preserve">PEVuZE5vdGU+PENpdGU+PEF1dGhvcj5BYmR1bGxhaDwvQXV0aG9yPjxZZWFyPjIwMjM8L1llYXI+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</w:fldData>
              </w:fldChar>
            </w:r>
            <w:r w:rsidR="002A446C">
              <w:instrText xml:space="preserve"> ADDIN EN.CITE </w:instrText>
            </w:r>
            <w:r w:rsidR="002A446C">
              <w:fldChar w:fldCharType="begin">
                <w:fldData xml:space="preserve">PEVuZE5vdGU+PENpdGU+PEF1dGhvcj5BYmR1bGxhaDwvQXV0aG9yPjxZZWFyPjIwMjM8L1llYXI+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</w:fldData>
              </w:fldChar>
            </w:r>
            <w:r w:rsidR="002A446C">
              <w:instrText xml:space="preserve"> ADDIN EN.CITE.DATA </w:instrText>
            </w:r>
            <w:r w:rsidR="002A446C">
              <w:fldChar w:fldCharType="end"/>
            </w:r>
            <w:r w:rsidRPr="00E54537">
              <w:fldChar w:fldCharType="separate"/>
            </w:r>
            <w:r w:rsidR="002A446C">
              <w:rPr>
                <w:noProof/>
              </w:rPr>
              <w:t>[34]</w:t>
            </w:r>
            <w:r w:rsidRPr="00E54537">
              <w:fldChar w:fldCharType="end"/>
            </w:r>
          </w:p>
        </w:tc>
        <w:tc>
          <w:tcPr>
            <w:tcW w:w="4099" w:type="pct"/>
            <w:hideMark/>
          </w:tcPr>
          <w:p w14:paraId="03E60B09" w14:textId="77777777" w:rsidR="00785D38" w:rsidRPr="00E54537" w:rsidRDefault="00785D38" w:rsidP="00E866CB">
            <w:pPr>
              <w:pStyle w:val="MDPI42tablebody"/>
              <w:jc w:val="left"/>
            </w:pPr>
            <w:r w:rsidRPr="00E54537">
              <w:t>A condition occurring usually 3 months from the onset of COVID-19 with symptoms that last for at least 2 months that cannot be explained by an alternative diagnosis</w:t>
            </w:r>
          </w:p>
        </w:tc>
      </w:tr>
      <w:tr w:rsidR="00785D38" w:rsidRPr="00E54537" w14:paraId="6F69DEEB" w14:textId="77777777" w:rsidTr="00785D38">
        <w:trPr>
          <w:trHeight w:val="373"/>
          <w:jc w:val="center"/>
        </w:trPr>
        <w:tc>
          <w:tcPr>
            <w:tcW w:w="901" w:type="pct"/>
            <w:hideMark/>
          </w:tcPr>
          <w:p w14:paraId="1EEEF9E4" w14:textId="338B9DFD" w:rsidR="00785D38" w:rsidRPr="00E54537" w:rsidRDefault="00785D38" w:rsidP="00E866CB">
            <w:pPr>
              <w:pStyle w:val="MDPI42tablebody"/>
              <w:jc w:val="left"/>
            </w:pPr>
            <w:r w:rsidRPr="00E54537">
              <w:t xml:space="preserve">Debski 2022 </w:t>
            </w:r>
            <w:r w:rsidRPr="00E54537">
              <w:fldChar w:fldCharType="begin">
                <w:fldData xml:space="preserve">PEVuZE5vdGU+PENpdGU+PEF1dGhvcj5EZWJza2k8L0F1dGhvcj48WWVhcj4yMDIyPC9ZZWFyPjxS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</w:fldData>
              </w:fldChar>
            </w:r>
            <w:r w:rsidR="002A446C">
              <w:instrText xml:space="preserve"> ADDIN EN.CITE </w:instrText>
            </w:r>
            <w:r w:rsidR="002A446C">
              <w:fldChar w:fldCharType="begin">
                <w:fldData xml:space="preserve">PEVuZE5vdGU+PENpdGU+PEF1dGhvcj5EZWJza2k8L0F1dGhvcj48WWVhcj4yMDIyPC9ZZWFyPjxS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</w:fldData>
              </w:fldChar>
            </w:r>
            <w:r w:rsidR="002A446C">
              <w:instrText xml:space="preserve"> ADDIN EN.CITE.DATA </w:instrText>
            </w:r>
            <w:r w:rsidR="002A446C">
              <w:fldChar w:fldCharType="end"/>
            </w:r>
            <w:r w:rsidRPr="00E54537">
              <w:fldChar w:fldCharType="separate"/>
            </w:r>
            <w:r w:rsidR="002A446C">
              <w:rPr>
                <w:noProof/>
              </w:rPr>
              <w:t>[27]</w:t>
            </w:r>
            <w:r w:rsidRPr="00E54537">
              <w:fldChar w:fldCharType="end"/>
            </w:r>
          </w:p>
        </w:tc>
        <w:tc>
          <w:tcPr>
            <w:tcW w:w="4099" w:type="pct"/>
            <w:hideMark/>
          </w:tcPr>
          <w:p w14:paraId="50F55926" w14:textId="77777777" w:rsidR="00785D38" w:rsidRPr="00E54537" w:rsidRDefault="00785D38" w:rsidP="00E866CB">
            <w:pPr>
              <w:pStyle w:val="MDPI42tablebody"/>
              <w:jc w:val="left"/>
            </w:pPr>
            <w:r w:rsidRPr="00E54537">
              <w:t>One or more new symptoms (e.g., post-COVID breathlessness, use of any health services in relation to post-COVID syndrome, chest pain)</w:t>
            </w:r>
          </w:p>
        </w:tc>
      </w:tr>
      <w:tr w:rsidR="00785D38" w:rsidRPr="00E54537" w14:paraId="52E63207" w14:textId="77777777" w:rsidTr="00785D38">
        <w:trPr>
          <w:trHeight w:val="373"/>
          <w:jc w:val="center"/>
        </w:trPr>
        <w:tc>
          <w:tcPr>
            <w:tcW w:w="901" w:type="pct"/>
            <w:hideMark/>
          </w:tcPr>
          <w:p w14:paraId="4B99CE96" w14:textId="387D79B6" w:rsidR="00785D38" w:rsidRPr="00E54537" w:rsidRDefault="00785D38" w:rsidP="00E866CB">
            <w:pPr>
              <w:pStyle w:val="MDPI42tablebody"/>
              <w:jc w:val="left"/>
            </w:pPr>
            <w:r w:rsidRPr="00E54537">
              <w:t xml:space="preserve">Fung 2023 </w:t>
            </w:r>
            <w:r w:rsidRPr="00E54537">
              <w:fldChar w:fldCharType="begin"/>
            </w:r>
            <w:r w:rsidR="002A446C">
              <w:instrText xml:space="preserve"> ADDIN EN.CITE &lt;EndNote&gt;&lt;Cite&gt;&lt;Author&gt;Fung&lt;/Author&gt;&lt;Year&gt;2023&lt;/Year&gt;&lt;RecNum&gt;27&lt;/RecNum&gt;&lt;DisplayText&gt;&lt;style size="10"&gt;[24]&lt;/style&gt;&lt;/DisplayText&gt;&lt;record&gt;&lt;rec-number&gt;27&lt;/rec-number&gt;&lt;foreign-keys&gt;&lt;key app="EN" db-id="xddvrzwr5d95wged2vk5epfypxsst99z90as" timestamp="1712277373"&gt;27&lt;/key&gt;&lt;/foreign-keys&gt;&lt;ref-type name="Journal Article"&gt;17&lt;/ref-type&gt;&lt;contributors&gt;&lt;authors&gt;&lt;author&gt;Fung, K. W.&lt;/author&gt;&lt;author&gt;Baye, F.&lt;/author&gt;&lt;author&gt;Baik, S. H.&lt;/author&gt;&lt;author&gt;Zheng, Z.&lt;/author&gt;&lt;author&gt;McDonald, C. J.&lt;/author&gt;&lt;/authors&gt;&lt;/contributors&gt;&lt;auth-address&gt;Lister Hill National Center for Biomedical Communications, National Library of Medicine, National Institutes of Health, United States of America.&lt;/auth-address&gt;&lt;titles&gt;&lt;title&gt;Prevalence and characteristics of long COVID in elderly patients: An observational cohort study of over 2 million adults in the US&lt;/title&gt;&lt;secondary-title&gt;PLoS Med&lt;/secondary-title&gt;&lt;/titles&gt;&lt;periodical&gt;&lt;full-title&gt;PLoS Med&lt;/full-title&gt;&lt;/periodical&gt;&lt;pages&gt;e1004194&lt;/pages&gt;&lt;volume&gt;20&lt;/volume&gt;&lt;number&gt;4&lt;/number&gt;&lt;edition&gt;20230417&lt;/edition&gt;&lt;keywords&gt;&lt;keyword&gt;Humans&lt;/keyword&gt;&lt;keyword&gt;Adult&lt;/keyword&gt;&lt;keyword&gt;Aged&lt;/keyword&gt;&lt;keyword&gt;United States&lt;/keyword&gt;&lt;keyword&gt;Cohort Studies&lt;/keyword&gt;&lt;keyword&gt;Medicare&lt;/keyword&gt;&lt;keyword&gt;Post-Acute COVID-19 Syndrome&lt;/keyword&gt;&lt;keyword&gt;*Influenza, Human/epidemiology&lt;/keyword&gt;&lt;keyword&gt;Prevalence&lt;/keyword&gt;&lt;keyword&gt;*covid-19&lt;/keyword&gt;&lt;/keywords&gt;&lt;dates&gt;&lt;year&gt;2023&lt;/year&gt;&lt;pub-dates&gt;&lt;date&gt;Apr&lt;/date&gt;&lt;/pub-dates&gt;&lt;/dates&gt;&lt;isbn&gt;1549-1676 (Electronic)&amp;#xD;1549-1277 (Print)&amp;#xD;1549-1277 (Linking)&lt;/isbn&gt;&lt;accession-num&gt;37068113&lt;/accession-num&gt;&lt;urls&gt;&lt;related-urls&gt;&lt;url&gt;https://www.ncbi.nlm.nih.gov/pubmed/37068113&lt;/url&gt;&lt;/related-urls&gt;&lt;/urls&gt;&lt;custom1&gt;The authors have declared that no competing interests exist.&lt;/custom1&gt;&lt;custom2&gt;PMC10150975&lt;/custom2&gt;&lt;electronic-resource-num&gt;10.1371/journal.pmed.1004194&lt;/electronic-resource-num&gt;&lt;remote-database-name&gt;Medline&lt;/remote-database-name&gt;&lt;remote-database-provider&gt;NLM&lt;/remote-database-provider&gt;&lt;/record&gt;&lt;/Cite&gt;&lt;/EndNote&gt;</w:instrText>
            </w:r>
            <w:r w:rsidRPr="00E54537">
              <w:fldChar w:fldCharType="separate"/>
            </w:r>
            <w:r w:rsidR="002A446C">
              <w:rPr>
                <w:noProof/>
              </w:rPr>
              <w:t>[24]</w:t>
            </w:r>
            <w:r w:rsidRPr="00E54537">
              <w:fldChar w:fldCharType="end"/>
            </w:r>
          </w:p>
        </w:tc>
        <w:tc>
          <w:tcPr>
            <w:tcW w:w="4099" w:type="pct"/>
            <w:hideMark/>
          </w:tcPr>
          <w:p w14:paraId="66973C03" w14:textId="77777777" w:rsidR="00785D38" w:rsidRPr="00E54537" w:rsidRDefault="00785D38" w:rsidP="00E866CB">
            <w:pPr>
              <w:pStyle w:val="MDPI42tablebody"/>
              <w:jc w:val="left"/>
            </w:pPr>
            <w:r w:rsidRPr="00E54537">
              <w:t>Any of the 11 symptoms identified in the WHO definition from 1 to 3 months post-infection (e.g., fatigue/malaise/weakness, muscle/joint pain)</w:t>
            </w:r>
          </w:p>
        </w:tc>
      </w:tr>
      <w:tr w:rsidR="00785D38" w:rsidRPr="00E54537" w14:paraId="3D2C9C2D" w14:textId="77777777" w:rsidTr="00785D38">
        <w:trPr>
          <w:trHeight w:val="373"/>
          <w:jc w:val="center"/>
        </w:trPr>
        <w:tc>
          <w:tcPr>
            <w:tcW w:w="901" w:type="pct"/>
            <w:hideMark/>
          </w:tcPr>
          <w:p w14:paraId="641A28CF" w14:textId="534410B2" w:rsidR="00785D38" w:rsidRPr="00E54537" w:rsidRDefault="00785D38" w:rsidP="00E866CB">
            <w:pPr>
              <w:pStyle w:val="MDPI42tablebody"/>
              <w:jc w:val="left"/>
            </w:pPr>
            <w:r w:rsidRPr="00E54537">
              <w:t xml:space="preserve">Gil 2023 </w:t>
            </w:r>
            <w:r w:rsidRPr="00E54537">
              <w:fldChar w:fldCharType="begin">
                <w:fldData xml:space="preserve">PEVuZE5vdGU+PENpdGU+PEF1dGhvcj5HaWw8L0F1dGhvcj48WWVhcj4yMDIzPC9ZZWFyPjxSZWNO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</w:fldData>
              </w:fldChar>
            </w:r>
            <w:r w:rsidR="002A446C">
              <w:instrText xml:space="preserve"> ADDIN EN.CITE </w:instrText>
            </w:r>
            <w:r w:rsidR="002A446C">
              <w:fldChar w:fldCharType="begin">
                <w:fldData xml:space="preserve">PEVuZE5vdGU+PENpdGU+PEF1dGhvcj5HaWw8L0F1dGhvcj48WWVhcj4yMDIzPC9ZZWFyPjxSZWNO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</w:fldData>
              </w:fldChar>
            </w:r>
            <w:r w:rsidR="002A446C">
              <w:instrText xml:space="preserve"> ADDIN EN.CITE.DATA </w:instrText>
            </w:r>
            <w:r w:rsidR="002A446C">
              <w:fldChar w:fldCharType="end"/>
            </w:r>
            <w:r w:rsidRPr="00E54537">
              <w:fldChar w:fldCharType="separate"/>
            </w:r>
            <w:r w:rsidR="002A446C">
              <w:rPr>
                <w:noProof/>
              </w:rPr>
              <w:t>[61]</w:t>
            </w:r>
            <w:r w:rsidRPr="00E54537">
              <w:fldChar w:fldCharType="end"/>
            </w:r>
          </w:p>
        </w:tc>
        <w:tc>
          <w:tcPr>
            <w:tcW w:w="4099" w:type="pct"/>
            <w:hideMark/>
          </w:tcPr>
          <w:p w14:paraId="5A9C671D" w14:textId="77777777" w:rsidR="00785D38" w:rsidRPr="00E54537" w:rsidRDefault="00785D38" w:rsidP="00E866CB">
            <w:pPr>
              <w:pStyle w:val="MDPI42tablebody"/>
              <w:jc w:val="left"/>
            </w:pPr>
            <w:r w:rsidRPr="00E54537">
              <w:t>Symptoms assessed 6 months after discharge from the hospital, e.g., fatigue, myalgia, dyspnea, or headache</w:t>
            </w:r>
          </w:p>
        </w:tc>
      </w:tr>
      <w:tr w:rsidR="00785D38" w:rsidRPr="00E54537" w14:paraId="645A4B4E" w14:textId="77777777" w:rsidTr="00785D38">
        <w:trPr>
          <w:trHeight w:val="556"/>
          <w:jc w:val="center"/>
        </w:trPr>
        <w:tc>
          <w:tcPr>
            <w:tcW w:w="901" w:type="pct"/>
            <w:hideMark/>
          </w:tcPr>
          <w:p w14:paraId="73703F9D" w14:textId="3332C571" w:rsidR="00785D38" w:rsidRPr="00E54537" w:rsidRDefault="00785D38" w:rsidP="00E866CB">
            <w:pPr>
              <w:pStyle w:val="MDPI42tablebody"/>
              <w:jc w:val="left"/>
            </w:pPr>
            <w:r w:rsidRPr="00E54537">
              <w:t xml:space="preserve">Kirchberger 2023 </w:t>
            </w:r>
            <w:r w:rsidRPr="00E54537">
              <w:fldChar w:fldCharType="begin">
                <w:fldData xml:space="preserve">PEVuZE5vdGU+PENpdGU+PEF1dGhvcj5LaXJjaGJlcmdlcjwvQXV0aG9yPjxZZWFyPjIwMjM8L1ll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</w:fldData>
              </w:fldChar>
            </w:r>
            <w:r w:rsidR="002A446C">
              <w:instrText xml:space="preserve"> ADDIN EN.CITE </w:instrText>
            </w:r>
            <w:r w:rsidR="002A446C">
              <w:fldChar w:fldCharType="begin">
                <w:fldData xml:space="preserve">PEVuZE5vdGU+PENpdGU+PEF1dGhvcj5LaXJjaGJlcmdlcjwvQXV0aG9yPjxZZWFyPjIwMjM8L1ll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</w:fldData>
              </w:fldChar>
            </w:r>
            <w:r w:rsidR="002A446C">
              <w:instrText xml:space="preserve"> ADDIN EN.CITE.DATA </w:instrText>
            </w:r>
            <w:r w:rsidR="002A446C">
              <w:fldChar w:fldCharType="end"/>
            </w:r>
            <w:r w:rsidRPr="00E54537">
              <w:fldChar w:fldCharType="separate"/>
            </w:r>
            <w:r w:rsidR="002A446C">
              <w:rPr>
                <w:noProof/>
              </w:rPr>
              <w:t>[49]</w:t>
            </w:r>
            <w:r w:rsidRPr="00E54537">
              <w:fldChar w:fldCharType="end"/>
            </w:r>
          </w:p>
        </w:tc>
        <w:tc>
          <w:tcPr>
            <w:tcW w:w="4099" w:type="pct"/>
            <w:hideMark/>
          </w:tcPr>
          <w:p w14:paraId="34455F00" w14:textId="77777777" w:rsidR="00785D38" w:rsidRPr="00E54537" w:rsidRDefault="00785D38" w:rsidP="00E866CB">
            <w:pPr>
              <w:pStyle w:val="MDPI42tablebody"/>
              <w:jc w:val="left"/>
            </w:pPr>
            <w:r w:rsidRPr="00E54537">
              <w:t>Presence of fatigue, dyspnea on exertion, memory problems, or concentration problems, either at the baseline assessment (median 9 months after acute infection) or during follow-up (median 26 months after acute infection)</w:t>
            </w:r>
          </w:p>
        </w:tc>
      </w:tr>
      <w:tr w:rsidR="00785D38" w:rsidRPr="00E54537" w14:paraId="79ECB46C" w14:textId="77777777" w:rsidTr="00785D38">
        <w:trPr>
          <w:trHeight w:val="766"/>
          <w:jc w:val="center"/>
        </w:trPr>
        <w:tc>
          <w:tcPr>
            <w:tcW w:w="901" w:type="pct"/>
            <w:hideMark/>
          </w:tcPr>
          <w:p w14:paraId="7707D409" w14:textId="362EC1D6" w:rsidR="00785D38" w:rsidRPr="00E54537" w:rsidRDefault="00785D38" w:rsidP="00E866CB">
            <w:pPr>
              <w:pStyle w:val="MDPI42tablebody"/>
              <w:jc w:val="left"/>
            </w:pPr>
            <w:r w:rsidRPr="00E54537">
              <w:t xml:space="preserve">Menges 2021 </w:t>
            </w:r>
            <w:r w:rsidRPr="00E54537">
              <w:fldChar w:fldCharType="begin">
                <w:fldData xml:space="preserve">PEVuZE5vdGU+PENpdGU+PEF1dGhvcj5NZW5nZXM8L0F1dGhvcj48WWVhcj4yMDIxPC9ZZWFyPjxS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</w:fldData>
              </w:fldChar>
            </w:r>
            <w:r w:rsidR="002A446C">
              <w:instrText xml:space="preserve"> ADDIN EN.CITE </w:instrText>
            </w:r>
            <w:r w:rsidR="002A446C">
              <w:fldChar w:fldCharType="begin">
                <w:fldData xml:space="preserve">PEVuZE5vdGU+PENpdGU+PEF1dGhvcj5NZW5nZXM8L0F1dGhvcj48WWVhcj4yMDIxPC9ZZWFyPjxS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</w:fldData>
              </w:fldChar>
            </w:r>
            <w:r w:rsidR="002A446C">
              <w:instrText xml:space="preserve"> ADDIN EN.CITE.DATA </w:instrText>
            </w:r>
            <w:r w:rsidR="002A446C">
              <w:fldChar w:fldCharType="end"/>
            </w:r>
            <w:r w:rsidRPr="00E54537">
              <w:fldChar w:fldCharType="separate"/>
            </w:r>
            <w:r w:rsidR="002A446C">
              <w:rPr>
                <w:noProof/>
              </w:rPr>
              <w:t>[31]</w:t>
            </w:r>
            <w:r w:rsidRPr="00E54537">
              <w:fldChar w:fldCharType="end"/>
            </w:r>
          </w:p>
        </w:tc>
        <w:tc>
          <w:tcPr>
            <w:tcW w:w="4099" w:type="pct"/>
            <w:hideMark/>
          </w:tcPr>
          <w:p w14:paraId="025E6245" w14:textId="77777777" w:rsidR="00785D38" w:rsidRPr="00E54537" w:rsidRDefault="00785D38" w:rsidP="00E866CB">
            <w:pPr>
              <w:pStyle w:val="MDPI42tablebody"/>
              <w:jc w:val="left"/>
            </w:pPr>
            <w:r w:rsidRPr="00E54537">
              <w:t>Four-category scale (feeling “recovered and symptom-free”, “better but not fully recovered”, “neither better nor worse”, or “worse”) for accessing the individual's recovery more than 4 weeks after the acute COVID-19 phase</w:t>
            </w:r>
          </w:p>
        </w:tc>
      </w:tr>
      <w:tr w:rsidR="00785D38" w:rsidRPr="00E54537" w14:paraId="7991CD77" w14:textId="77777777" w:rsidTr="00785D38">
        <w:trPr>
          <w:trHeight w:val="766"/>
          <w:jc w:val="center"/>
        </w:trPr>
        <w:tc>
          <w:tcPr>
            <w:tcW w:w="901" w:type="pct"/>
            <w:hideMark/>
          </w:tcPr>
          <w:p w14:paraId="08D29EC2" w14:textId="7969A849" w:rsidR="00785D38" w:rsidRPr="00E54537" w:rsidRDefault="00785D38" w:rsidP="00E866CB">
            <w:pPr>
              <w:pStyle w:val="MDPI42tablebody"/>
              <w:jc w:val="left"/>
            </w:pPr>
            <w:r w:rsidRPr="00E54537">
              <w:t xml:space="preserve">Miller 2023 </w:t>
            </w:r>
            <w:r w:rsidRPr="00E54537">
              <w:fldChar w:fldCharType="begin">
                <w:fldData xml:space="preserve">PEVuZE5vdGU+PENpdGU+PEF1dGhvcj5NaWxsZXI8L0F1dGhvcj48WWVhcj4yMDIzPC9ZZWFyPjxS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</w:fldData>
              </w:fldChar>
            </w:r>
            <w:r w:rsidR="002A446C">
              <w:instrText xml:space="preserve"> ADDIN EN.CITE </w:instrText>
            </w:r>
            <w:r w:rsidR="002A446C">
              <w:fldChar w:fldCharType="begin">
                <w:fldData xml:space="preserve">PEVuZE5vdGU+PENpdGU+PEF1dGhvcj5NaWxsZXI8L0F1dGhvcj48WWVhcj4yMDIzPC9ZZWFyPjxS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</w:fldData>
              </w:fldChar>
            </w:r>
            <w:r w:rsidR="002A446C">
              <w:instrText xml:space="preserve"> ADDIN EN.CITE.DATA </w:instrText>
            </w:r>
            <w:r w:rsidR="002A446C">
              <w:fldChar w:fldCharType="end"/>
            </w:r>
            <w:r w:rsidRPr="00E54537">
              <w:fldChar w:fldCharType="separate"/>
            </w:r>
            <w:r w:rsidR="002A446C">
              <w:rPr>
                <w:noProof/>
              </w:rPr>
              <w:t>[59]</w:t>
            </w:r>
            <w:r w:rsidRPr="00E54537">
              <w:fldChar w:fldCharType="end"/>
            </w:r>
          </w:p>
        </w:tc>
        <w:tc>
          <w:tcPr>
            <w:tcW w:w="4099" w:type="pct"/>
            <w:hideMark/>
          </w:tcPr>
          <w:p w14:paraId="132124E9" w14:textId="77777777" w:rsidR="00785D38" w:rsidRPr="00E54537" w:rsidRDefault="00785D38" w:rsidP="00E866CB">
            <w:pPr>
              <w:pStyle w:val="MDPI42tablebody"/>
              <w:jc w:val="left"/>
            </w:pPr>
            <w:r w:rsidRPr="00E54537">
              <w:t>Following the individual’s first positive test, one or more of 17 symptoms that lasted &gt;4 weeks since they first experienced the symptom(s) (e.g., change in mood, change in smell or taste, chest pain/pressure, cough)</w:t>
            </w:r>
          </w:p>
        </w:tc>
      </w:tr>
      <w:tr w:rsidR="00785D38" w:rsidRPr="00E54537" w14:paraId="008C2817" w14:textId="77777777" w:rsidTr="00785D38">
        <w:trPr>
          <w:trHeight w:val="373"/>
          <w:jc w:val="center"/>
        </w:trPr>
        <w:tc>
          <w:tcPr>
            <w:tcW w:w="901" w:type="pct"/>
            <w:hideMark/>
          </w:tcPr>
          <w:p w14:paraId="698451BA" w14:textId="1F240E1E" w:rsidR="00785D38" w:rsidRPr="00E54537" w:rsidRDefault="00785D38" w:rsidP="00E866CB">
            <w:pPr>
              <w:pStyle w:val="MDPI42tablebody"/>
              <w:jc w:val="left"/>
            </w:pPr>
            <w:r w:rsidRPr="00E54537">
              <w:t xml:space="preserve">Nehme 2022 </w:t>
            </w:r>
            <w:r w:rsidRPr="00E54537">
              <w:fldChar w:fldCharType="begin">
                <w:fldData xml:space="preserve">PEVuZE5vdGU+PENpdGU+PEF1dGhvcj5OZWhtZTwvQXV0aG9yPjxZZWFyPjIwMjI8L1llYXI+PFJl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==
</w:fldData>
              </w:fldChar>
            </w:r>
            <w:r w:rsidR="002A446C">
              <w:instrText xml:space="preserve"> ADDIN EN.CITE </w:instrText>
            </w:r>
            <w:r w:rsidR="002A446C">
              <w:fldChar w:fldCharType="begin">
                <w:fldData xml:space="preserve">PEVuZE5vdGU+PENpdGU+PEF1dGhvcj5OZWhtZTwvQXV0aG9yPjxZZWFyPjIwMjI8L1llYXI+PFJl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==
</w:fldData>
              </w:fldChar>
            </w:r>
            <w:r w:rsidR="002A446C">
              <w:instrText xml:space="preserve"> ADDIN EN.CITE.DATA </w:instrText>
            </w:r>
            <w:r w:rsidR="002A446C">
              <w:fldChar w:fldCharType="end"/>
            </w:r>
            <w:r w:rsidRPr="00E54537">
              <w:fldChar w:fldCharType="separate"/>
            </w:r>
            <w:r w:rsidR="002A446C">
              <w:rPr>
                <w:noProof/>
              </w:rPr>
              <w:t>[28]</w:t>
            </w:r>
            <w:r w:rsidRPr="00E54537">
              <w:fldChar w:fldCharType="end"/>
            </w:r>
          </w:p>
        </w:tc>
        <w:tc>
          <w:tcPr>
            <w:tcW w:w="4099" w:type="pct"/>
            <w:hideMark/>
          </w:tcPr>
          <w:p w14:paraId="14404462" w14:textId="77777777" w:rsidR="00785D38" w:rsidRPr="00E54537" w:rsidRDefault="00785D38" w:rsidP="00E866CB">
            <w:pPr>
              <w:pStyle w:val="MDPI42tablebody"/>
              <w:jc w:val="left"/>
            </w:pPr>
            <w:r w:rsidRPr="00E54537">
              <w:t>Having symptoms for more than 12 weeks after the infection (e.g., fatigue, headache, change in smell, mental exhaustion)</w:t>
            </w:r>
          </w:p>
        </w:tc>
      </w:tr>
      <w:tr w:rsidR="00785D38" w:rsidRPr="00E54537" w14:paraId="2D187886" w14:textId="77777777" w:rsidTr="00785D38">
        <w:trPr>
          <w:trHeight w:val="373"/>
          <w:jc w:val="center"/>
        </w:trPr>
        <w:tc>
          <w:tcPr>
            <w:tcW w:w="901" w:type="pct"/>
            <w:hideMark/>
          </w:tcPr>
          <w:p w14:paraId="1BEAAE95" w14:textId="5B4B530C" w:rsidR="00785D38" w:rsidRPr="00E54537" w:rsidRDefault="00785D38" w:rsidP="00E866CB">
            <w:pPr>
              <w:pStyle w:val="MDPI42tablebody"/>
              <w:jc w:val="left"/>
            </w:pPr>
            <w:r w:rsidRPr="00E54537">
              <w:t xml:space="preserve">Patterson 2022 </w:t>
            </w:r>
            <w:r w:rsidRPr="00E54537">
              <w:fldChar w:fldCharType="begin"/>
            </w:r>
            <w:r w:rsidR="002A446C">
              <w:instrText xml:space="preserve"> ADDIN EN.CITE &lt;EndNote&gt;&lt;Cite&gt;&lt;Author&gt;Patterson&lt;/Author&gt;&lt;Year&gt;2022&lt;/Year&gt;&lt;RecNum&gt;53&lt;/RecNum&gt;&lt;DisplayText&gt;&lt;style size="10"&gt;[52]&lt;/style&gt;&lt;/DisplayText&gt;&lt;record&gt;&lt;rec-number&gt;53&lt;/rec-number&gt;&lt;foreign-keys&gt;&lt;key app="EN" db-id="xddvrzwr5d95wged2vk5epfypxsst99z90as" timestamp="1712277478"&gt;53&lt;/key&gt;&lt;/foreign-keys&gt;&lt;ref-type name="Conference Paper"&gt;47&lt;/ref-type&gt;&lt;contributors&gt;&lt;authors&gt;&lt;author&gt;Patterson, B.&lt;/author&gt;&lt;author&gt;Ruppenkamp, J.&lt;/author&gt;&lt;author&gt;Richards, F.  Debnath, R.&lt;/author&gt;&lt;author&gt;El Khoury, A.C.&lt;/author&gt;&lt;author&gt;DeMartino, J.K.  Bookhart. B. &lt;/author&gt;&lt;author&gt;Holy, C. &lt;/author&gt;&lt;author&gt;Coplan, P.M.&lt;/author&gt;&lt;/authors&gt;&lt;/contributors&gt;&lt;titles&gt;&lt;title&gt;Cost of Long Covid Following Severe Disease - A US Healthcare Database Analysis&lt;/title&gt;&lt;secondary-title&gt;ISPOR&lt;/secondary-title&gt;&lt;/titles&gt;&lt;dates&gt;&lt;year&gt;2022&lt;/year&gt;&lt;/dates&gt;&lt;pub-location&gt;National Harbor, MD, USA&lt;/pub-location&gt;&lt;urls&gt;&lt;/urls&gt;&lt;/record&gt;&lt;/Cite&gt;&lt;/EndNote&gt;</w:instrText>
            </w:r>
            <w:r w:rsidRPr="00E54537">
              <w:fldChar w:fldCharType="separate"/>
            </w:r>
            <w:r w:rsidR="002A446C">
              <w:rPr>
                <w:noProof/>
              </w:rPr>
              <w:t>[52]</w:t>
            </w:r>
            <w:r w:rsidRPr="00E54537">
              <w:fldChar w:fldCharType="end"/>
            </w:r>
          </w:p>
        </w:tc>
        <w:tc>
          <w:tcPr>
            <w:tcW w:w="4099" w:type="pct"/>
            <w:hideMark/>
          </w:tcPr>
          <w:p w14:paraId="153854C3" w14:textId="77777777" w:rsidR="00785D38" w:rsidRPr="00E54537" w:rsidRDefault="00785D38" w:rsidP="00E866CB">
            <w:pPr>
              <w:pStyle w:val="MDPI42tablebody"/>
              <w:jc w:val="left"/>
            </w:pPr>
            <w:r w:rsidRPr="00E54537">
              <w:t>Duration of disease exceeding 12 weeks</w:t>
            </w:r>
          </w:p>
        </w:tc>
      </w:tr>
      <w:tr w:rsidR="00785D38" w:rsidRPr="00E54537" w14:paraId="574E0362" w14:textId="77777777" w:rsidTr="00785D38">
        <w:trPr>
          <w:trHeight w:val="756"/>
          <w:jc w:val="center"/>
        </w:trPr>
        <w:tc>
          <w:tcPr>
            <w:tcW w:w="901" w:type="pct"/>
            <w:hideMark/>
          </w:tcPr>
          <w:p w14:paraId="1ED466F0" w14:textId="6D0AFF54" w:rsidR="00785D38" w:rsidRPr="00E54537" w:rsidRDefault="00785D38" w:rsidP="00E866CB">
            <w:pPr>
              <w:pStyle w:val="MDPI42tablebody"/>
              <w:jc w:val="left"/>
            </w:pPr>
            <w:r w:rsidRPr="00E54537">
              <w:t xml:space="preserve">Tene 2023 </w:t>
            </w:r>
            <w:r w:rsidRPr="00E54537">
              <w:fldChar w:fldCharType="begin">
                <w:fldData xml:space="preserve">PEVuZE5vdGU+PENpdGU+PEF1dGhvcj5UZW5lPC9BdXRob3I+PFllYXI+MjAyMzwvWWVhcj48UmVj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</w:fldData>
              </w:fldChar>
            </w:r>
            <w:r w:rsidR="002A446C">
              <w:instrText xml:space="preserve"> ADDIN EN.CITE </w:instrText>
            </w:r>
            <w:r w:rsidR="002A446C">
              <w:fldChar w:fldCharType="begin">
                <w:fldData xml:space="preserve">PEVuZE5vdGU+PENpdGU+PEF1dGhvcj5UZW5lPC9BdXRob3I+PFllYXI+MjAyMzwvWWVhcj48UmVj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</w:fldData>
              </w:fldChar>
            </w:r>
            <w:r w:rsidR="002A446C">
              <w:instrText xml:space="preserve"> ADDIN EN.CITE.DATA </w:instrText>
            </w:r>
            <w:r w:rsidR="002A446C">
              <w:fldChar w:fldCharType="end"/>
            </w:r>
            <w:r w:rsidRPr="00E54537">
              <w:fldChar w:fldCharType="separate"/>
            </w:r>
            <w:r w:rsidR="002A446C">
              <w:rPr>
                <w:noProof/>
              </w:rPr>
              <w:t>[25]</w:t>
            </w:r>
            <w:r w:rsidRPr="00E54537">
              <w:fldChar w:fldCharType="end"/>
            </w:r>
          </w:p>
        </w:tc>
        <w:tc>
          <w:tcPr>
            <w:tcW w:w="4099" w:type="pct"/>
            <w:hideMark/>
          </w:tcPr>
          <w:p w14:paraId="557DD480" w14:textId="77777777" w:rsidR="00785D38" w:rsidRPr="00E54537" w:rsidRDefault="00785D38" w:rsidP="00E866CB">
            <w:pPr>
              <w:pStyle w:val="MDPI42tablebody"/>
              <w:jc w:val="left"/>
            </w:pPr>
            <w:r w:rsidRPr="00E54537">
              <w:t>Probable long COVID: Individuals with physician-diagnosed post-COVID symptoms at more than 4 weeks from the first positive RT-PCR, even if they did not have a specific long COVID diagnosis code in their electronic medical record</w:t>
            </w:r>
          </w:p>
        </w:tc>
      </w:tr>
      <w:tr w:rsidR="00785D38" w:rsidRPr="00E54537" w14:paraId="42C9CC20" w14:textId="77777777" w:rsidTr="00785D38">
        <w:trPr>
          <w:trHeight w:val="373"/>
          <w:jc w:val="center"/>
        </w:trPr>
        <w:tc>
          <w:tcPr>
            <w:tcW w:w="901" w:type="pct"/>
            <w:hideMark/>
          </w:tcPr>
          <w:p w14:paraId="66E4B6B1" w14:textId="757424A3" w:rsidR="00785D38" w:rsidRPr="00E54537" w:rsidRDefault="00785D38" w:rsidP="00E866CB">
            <w:pPr>
              <w:pStyle w:val="MDPI42tablebody"/>
              <w:jc w:val="left"/>
            </w:pPr>
            <w:r w:rsidRPr="00E54537">
              <w:t xml:space="preserve">Tufts 2023 </w:t>
            </w:r>
            <w:r w:rsidRPr="00E54537">
              <w:fldChar w:fldCharType="begin">
                <w:fldData xml:space="preserve">PEVuZE5vdGU+PENpdGU+PEF1dGhvcj5UdWZ0czwvQXV0aG9yPjxZZWFyPjIwMjM8L1llYXI+PFJl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</w:fldData>
              </w:fldChar>
            </w:r>
            <w:r w:rsidR="002A446C">
              <w:instrText xml:space="preserve"> ADDIN EN.CITE </w:instrText>
            </w:r>
            <w:r w:rsidR="002A446C">
              <w:fldChar w:fldCharType="begin">
                <w:fldData xml:space="preserve">PEVuZE5vdGU+PENpdGU+PEF1dGhvcj5UdWZ0czwvQXV0aG9yPjxZZWFyPjIwMjM8L1llYXI+PFJl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</w:fldData>
              </w:fldChar>
            </w:r>
            <w:r w:rsidR="002A446C">
              <w:instrText xml:space="preserve"> ADDIN EN.CITE.DATA </w:instrText>
            </w:r>
            <w:r w:rsidR="002A446C">
              <w:fldChar w:fldCharType="end"/>
            </w:r>
            <w:r w:rsidRPr="00E54537">
              <w:fldChar w:fldCharType="separate"/>
            </w:r>
            <w:r w:rsidR="002A446C">
              <w:rPr>
                <w:noProof/>
              </w:rPr>
              <w:t>[57]</w:t>
            </w:r>
            <w:r w:rsidRPr="00E54537">
              <w:fldChar w:fldCharType="end"/>
            </w:r>
          </w:p>
        </w:tc>
        <w:tc>
          <w:tcPr>
            <w:tcW w:w="4099" w:type="pct"/>
            <w:hideMark/>
          </w:tcPr>
          <w:p w14:paraId="6F419A4F" w14:textId="77777777" w:rsidR="00785D38" w:rsidRPr="00E54537" w:rsidRDefault="00785D38" w:rsidP="00E866CB">
            <w:pPr>
              <w:pStyle w:val="MDPI42tablebody"/>
              <w:jc w:val="left"/>
            </w:pPr>
            <w:r w:rsidRPr="00E54537">
              <w:t>Symptoms persisting beyond 12 weeks of infection in individuals with a confirmed SARS-CoV-2 infection</w:t>
            </w:r>
          </w:p>
        </w:tc>
      </w:tr>
      <w:tr w:rsidR="00785D38" w:rsidRPr="00E54537" w14:paraId="1DD5EC9D" w14:textId="77777777" w:rsidTr="00785D38">
        <w:trPr>
          <w:trHeight w:val="373"/>
          <w:jc w:val="center"/>
        </w:trPr>
        <w:tc>
          <w:tcPr>
            <w:tcW w:w="901" w:type="pct"/>
            <w:hideMark/>
          </w:tcPr>
          <w:p w14:paraId="52A8B22E" w14:textId="42F5602D" w:rsidR="00785D38" w:rsidRPr="00E54537" w:rsidRDefault="00785D38" w:rsidP="00E866CB">
            <w:pPr>
              <w:pStyle w:val="MDPI42tablebody"/>
              <w:jc w:val="left"/>
            </w:pPr>
            <w:r w:rsidRPr="00E54537">
              <w:t xml:space="preserve">Woldegiorgis 2023 </w:t>
            </w:r>
            <w:r w:rsidRPr="00E54537">
              <w:fldChar w:fldCharType="begin"/>
            </w:r>
            <w:r w:rsidR="002A446C">
              <w:instrText xml:space="preserve"> ADDIN EN.CITE &lt;EndNote&gt;&lt;Cite&gt;&lt;Author&gt;Woldegiorgis&lt;/Author&gt;&lt;Year&gt;2023&lt;/Year&gt;&lt;RecNum&gt;61&lt;/RecNum&gt;&lt;DisplayText&gt;&lt;style size="10"&gt;[23]&lt;/style&gt;&lt;/DisplayText&gt;&lt;record&gt;&lt;rec-number&gt;61&lt;/rec-number&gt;&lt;foreign-keys&gt;&lt;key app="EN" db-id="xddvrzwr5d95wged2vk5epfypxsst99z90as" timestamp="1712277514"&gt;61&lt;/key&gt;&lt;/foreign-keys&gt;&lt;ref-type name="Journal Article"&gt;17&lt;/ref-type&gt;&lt;contributors&gt;&lt;authors&gt;&lt;author&gt;Woldegiorgis, Mulu&lt;/author&gt;&lt;author&gt;Cadby, Gemma&lt;/author&gt;&lt;author&gt;Ngeh, Sera&lt;/author&gt;&lt;author&gt;Korda, Rosemary&lt;/author&gt;&lt;author&gt;Armstrong, Paul&lt;/author&gt;&lt;author&gt;Maticevic, Jelena&lt;/author&gt;&lt;author&gt;Knight, Paul&lt;/author&gt;&lt;author&gt;Jardine, Andrew&lt;/author&gt;&lt;author&gt;Bloomfield, Lauren&lt;/author&gt;&lt;author&gt;Effler, Paul&lt;/author&gt;&lt;/authors&gt;&lt;/contributors&gt;&lt;titles&gt;&lt;title&gt;Long COVID in a highly vaccinated population infected during a SARS-CoV-2 Omicron wave – Australia, 2022&lt;/title&gt;&lt;/titles&gt;&lt;dates&gt;&lt;year&gt;2023&lt;/year&gt;&lt;/dates&gt;&lt;urls&gt;&lt;/urls&gt;&lt;electronic-resource-num&gt;10.1101/2023.08.06.23293706&lt;/electronic-resource-num&gt;&lt;/record&gt;&lt;/Cite&gt;&lt;/EndNote&gt;</w:instrText>
            </w:r>
            <w:r w:rsidRPr="00E54537">
              <w:fldChar w:fldCharType="separate"/>
            </w:r>
            <w:r w:rsidR="002A446C">
              <w:rPr>
                <w:noProof/>
              </w:rPr>
              <w:t>[23]</w:t>
            </w:r>
            <w:r w:rsidRPr="00E54537">
              <w:fldChar w:fldCharType="end"/>
            </w:r>
          </w:p>
        </w:tc>
        <w:tc>
          <w:tcPr>
            <w:tcW w:w="4099" w:type="pct"/>
            <w:hideMark/>
          </w:tcPr>
          <w:p w14:paraId="2CC85E49" w14:textId="77777777" w:rsidR="00785D38" w:rsidRPr="00E54537" w:rsidRDefault="00785D38" w:rsidP="00E866CB">
            <w:pPr>
              <w:pStyle w:val="MDPI42tablebody"/>
              <w:jc w:val="left"/>
            </w:pPr>
            <w:r w:rsidRPr="00E54537">
              <w:t>New or ongoing COVID-19 illness-related symptoms or health issues 90 days post-diagnosis</w:t>
            </w:r>
          </w:p>
        </w:tc>
      </w:tr>
      <w:tr w:rsidR="00785D38" w:rsidRPr="00E54537" w14:paraId="4C258293" w14:textId="77777777" w:rsidTr="00785D38">
        <w:trPr>
          <w:trHeight w:val="373"/>
          <w:jc w:val="center"/>
        </w:trPr>
        <w:tc>
          <w:tcPr>
            <w:tcW w:w="5000" w:type="pct"/>
            <w:gridSpan w:val="2"/>
          </w:tcPr>
          <w:p w14:paraId="32E31190" w14:textId="77777777" w:rsidR="00785D38" w:rsidRPr="00E54537" w:rsidRDefault="00785D38" w:rsidP="00E866CB">
            <w:pPr>
              <w:pStyle w:val="MDPI42tablebody"/>
              <w:jc w:val="left"/>
            </w:pPr>
            <w:r w:rsidRPr="00E54537">
              <w:rPr>
                <w:b/>
                <w:bCs/>
              </w:rPr>
              <w:t>Coding-based definitions (8 studies)</w:t>
            </w:r>
          </w:p>
        </w:tc>
      </w:tr>
      <w:tr w:rsidR="00785D38" w:rsidRPr="00E54537" w14:paraId="2F7DF8DB" w14:textId="77777777" w:rsidTr="00785D38">
        <w:trPr>
          <w:trHeight w:val="373"/>
          <w:jc w:val="center"/>
        </w:trPr>
        <w:tc>
          <w:tcPr>
            <w:tcW w:w="901" w:type="pct"/>
          </w:tcPr>
          <w:p w14:paraId="560F2342" w14:textId="000ED0A3" w:rsidR="00785D38" w:rsidRPr="00E54537" w:rsidRDefault="00785D38" w:rsidP="00E866CB">
            <w:pPr>
              <w:pStyle w:val="MDPI42tablebody"/>
              <w:jc w:val="left"/>
            </w:pPr>
            <w:r w:rsidRPr="00E54537">
              <w:t xml:space="preserve">Encinosa 2023 </w:t>
            </w:r>
            <w:r w:rsidRPr="00E54537">
              <w:fldChar w:fldCharType="begin">
                <w:fldData xml:space="preserve">PEVuZE5vdGU+PENpdGU+PEF1dGhvcj5FbmNpbm9zYTwvQXV0aG9yPjxZZWFyPjIwMjM8L1llYXI+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</w:fldData>
              </w:fldChar>
            </w:r>
            <w:r w:rsidR="002A446C">
              <w:instrText xml:space="preserve"> ADDIN EN.CITE </w:instrText>
            </w:r>
            <w:r w:rsidR="002A446C">
              <w:fldChar w:fldCharType="begin">
                <w:fldData xml:space="preserve">PEVuZE5vdGU+PENpdGU+PEF1dGhvcj5FbmNpbm9zYTwvQXV0aG9yPjxZZWFyPjIwMjM8L1llYXI+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</w:fldData>
              </w:fldChar>
            </w:r>
            <w:r w:rsidR="002A446C">
              <w:instrText xml:space="preserve"> ADDIN EN.CITE.DATA </w:instrText>
            </w:r>
            <w:r w:rsidR="002A446C">
              <w:fldChar w:fldCharType="end"/>
            </w:r>
            <w:r w:rsidRPr="00E54537">
              <w:fldChar w:fldCharType="separate"/>
            </w:r>
            <w:r w:rsidR="002A446C">
              <w:rPr>
                <w:noProof/>
              </w:rPr>
              <w:t>[62]</w:t>
            </w:r>
            <w:r w:rsidRPr="00E54537">
              <w:fldChar w:fldCharType="end"/>
            </w:r>
          </w:p>
        </w:tc>
        <w:tc>
          <w:tcPr>
            <w:tcW w:w="4099" w:type="pct"/>
          </w:tcPr>
          <w:p w14:paraId="1DC87D5C" w14:textId="77777777" w:rsidR="00785D38" w:rsidRPr="00E54537" w:rsidRDefault="00785D38" w:rsidP="00E866CB">
            <w:pPr>
              <w:pStyle w:val="MDPI42tablebody"/>
              <w:jc w:val="left"/>
            </w:pPr>
            <w:r w:rsidRPr="00E54537">
              <w:t>ICD-10: Z86.16; ICD-10: U07.1 + B94.8 for COVID-19 sequelae</w:t>
            </w:r>
          </w:p>
        </w:tc>
      </w:tr>
      <w:tr w:rsidR="00785D38" w:rsidRPr="00E54537" w14:paraId="263BAC65" w14:textId="77777777" w:rsidTr="00785D38">
        <w:trPr>
          <w:trHeight w:val="373"/>
          <w:jc w:val="center"/>
        </w:trPr>
        <w:tc>
          <w:tcPr>
            <w:tcW w:w="901" w:type="pct"/>
          </w:tcPr>
          <w:p w14:paraId="0EC0B983" w14:textId="4168EDB0" w:rsidR="00785D38" w:rsidRPr="00E54537" w:rsidRDefault="00785D38" w:rsidP="00E866CB">
            <w:pPr>
              <w:pStyle w:val="MDPI42tablebody"/>
              <w:jc w:val="left"/>
            </w:pPr>
            <w:r w:rsidRPr="00E54537">
              <w:t xml:space="preserve">Fung 2023 </w:t>
            </w:r>
            <w:r w:rsidRPr="00E54537">
              <w:fldChar w:fldCharType="begin"/>
            </w:r>
            <w:r w:rsidR="002A446C">
              <w:instrText xml:space="preserve"> ADDIN EN.CITE &lt;EndNote&gt;&lt;Cite&gt;&lt;Author&gt;Fung&lt;/Author&gt;&lt;Year&gt;2023&lt;/Year&gt;&lt;RecNum&gt;27&lt;/RecNum&gt;&lt;DisplayText&gt;&lt;style size="10"&gt;[24]&lt;/style&gt;&lt;/DisplayText&gt;&lt;record&gt;&lt;rec-number&gt;27&lt;/rec-number&gt;&lt;foreign-keys&gt;&lt;key app="EN" db-id="xddvrzwr5d95wged2vk5epfypxsst99z90as" timestamp="1712277373"&gt;27&lt;/key&gt;&lt;/foreign-keys&gt;&lt;ref-type name="Journal Article"&gt;17&lt;/ref-type&gt;&lt;contributors&gt;&lt;authors&gt;&lt;author&gt;Fung, K. W.&lt;/author&gt;&lt;author&gt;Baye, F.&lt;/author&gt;&lt;author&gt;Baik, S. H.&lt;/author&gt;&lt;author&gt;Zheng, Z.&lt;/author&gt;&lt;author&gt;McDonald, C. J.&lt;/author&gt;&lt;/authors&gt;&lt;/contributors&gt;&lt;auth-address&gt;Lister Hill National Center for Biomedical Communications, National Library of Medicine, National Institutes of Health, United States of America.&lt;/auth-address&gt;&lt;titles&gt;&lt;title&gt;Prevalence and characteristics of long COVID in elderly patients: An observational cohort study of over 2 million adults in the US&lt;/title&gt;&lt;secondary-title&gt;PLoS Med&lt;/secondary-title&gt;&lt;/titles&gt;&lt;periodical&gt;&lt;full-title&gt;PLoS Med&lt;/full-title&gt;&lt;/periodical&gt;&lt;pages&gt;e1004194&lt;/pages&gt;&lt;volume&gt;20&lt;/volume&gt;&lt;number&gt;4&lt;/number&gt;&lt;edition&gt;20230417&lt;/edition&gt;&lt;keywords&gt;&lt;keyword&gt;Humans&lt;/keyword&gt;&lt;keyword&gt;Adult&lt;/keyword&gt;&lt;keyword&gt;Aged&lt;/keyword&gt;&lt;keyword&gt;United States&lt;/keyword&gt;&lt;keyword&gt;Cohort Studies&lt;/keyword&gt;&lt;keyword&gt;Medicare&lt;/keyword&gt;&lt;keyword&gt;Post-Acute COVID-19 Syndrome&lt;/keyword&gt;&lt;keyword&gt;*Influenza, Human/epidemiology&lt;/keyword&gt;&lt;keyword&gt;Prevalence&lt;/keyword&gt;&lt;keyword&gt;*covid-19&lt;/keyword&gt;&lt;/keywords&gt;&lt;dates&gt;&lt;year&gt;2023&lt;/year&gt;&lt;pub-dates&gt;&lt;date&gt;Apr&lt;/date&gt;&lt;/pub-dates&gt;&lt;/dates&gt;&lt;isbn&gt;1549-1676 (Electronic)&amp;#xD;1549-1277 (Print)&amp;#xD;1549-1277 (Linking)&lt;/isbn&gt;&lt;accession-num&gt;37068113&lt;/accession-num&gt;&lt;urls&gt;&lt;related-urls&gt;&lt;url&gt;https://www.ncbi.nlm.nih.gov/pubmed/37068113&lt;/url&gt;&lt;/related-urls&gt;&lt;/urls&gt;&lt;custom1&gt;The authors have declared that no competing interests exist.&lt;/custom1&gt;&lt;custom2&gt;PMC10150975&lt;/custom2&gt;&lt;electronic-resource-num&gt;10.1371/journal.pmed.1004194&lt;/electronic-resource-num&gt;&lt;remote-database-name&gt;Medline&lt;/remote-database-name&gt;&lt;remote-database-provider&gt;NLM&lt;/remote-database-provider&gt;&lt;/record&gt;&lt;/Cite&gt;&lt;/EndNote&gt;</w:instrText>
            </w:r>
            <w:r w:rsidRPr="00E54537">
              <w:fldChar w:fldCharType="separate"/>
            </w:r>
            <w:r w:rsidR="002A446C">
              <w:rPr>
                <w:noProof/>
              </w:rPr>
              <w:t>[24]</w:t>
            </w:r>
            <w:r w:rsidRPr="00E54537">
              <w:fldChar w:fldCharType="end"/>
            </w:r>
          </w:p>
        </w:tc>
        <w:tc>
          <w:tcPr>
            <w:tcW w:w="4099" w:type="pct"/>
          </w:tcPr>
          <w:p w14:paraId="129982CD" w14:textId="77777777" w:rsidR="00785D38" w:rsidRPr="00E54537" w:rsidRDefault="00785D38" w:rsidP="00E866CB">
            <w:pPr>
              <w:pStyle w:val="MDPI42tablebody"/>
              <w:jc w:val="left"/>
            </w:pPr>
            <w:r w:rsidRPr="00E54537">
              <w:t>ICD-10: B94.8</w:t>
            </w:r>
          </w:p>
        </w:tc>
      </w:tr>
      <w:tr w:rsidR="00785D38" w:rsidRPr="00E54537" w14:paraId="75E942C8" w14:textId="77777777" w:rsidTr="00785D38">
        <w:trPr>
          <w:trHeight w:val="373"/>
          <w:jc w:val="center"/>
        </w:trPr>
        <w:tc>
          <w:tcPr>
            <w:tcW w:w="901" w:type="pct"/>
          </w:tcPr>
          <w:p w14:paraId="5A5161D3" w14:textId="3D6403CC" w:rsidR="00785D38" w:rsidRPr="00E54537" w:rsidRDefault="00785D38" w:rsidP="00E866CB">
            <w:pPr>
              <w:pStyle w:val="MDPI42tablebody"/>
              <w:jc w:val="left"/>
            </w:pPr>
            <w:r w:rsidRPr="00E54537">
              <w:t xml:space="preserve">Hedberg 2022 </w:t>
            </w:r>
            <w:r w:rsidRPr="00E54537">
              <w:fldChar w:fldCharType="begin">
                <w:fldData xml:space="preserve">PEVuZE5vdGU+PENpdGU+PEF1dGhvcj5IZWRiZXJnPC9BdXRob3I+PFllYXI+MjAyMzwvWWVhcj48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</w:fldData>
              </w:fldChar>
            </w:r>
            <w:r w:rsidR="002A446C">
              <w:instrText xml:space="preserve"> ADDIN EN.CITE </w:instrText>
            </w:r>
            <w:r w:rsidR="002A446C">
              <w:fldChar w:fldCharType="begin">
                <w:fldData xml:space="preserve">PEVuZE5vdGU+PENpdGU+PEF1dGhvcj5IZWRiZXJnPC9BdXRob3I+PFllYXI+MjAyMzwvWWVhcj48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</w:fldData>
              </w:fldChar>
            </w:r>
            <w:r w:rsidR="002A446C">
              <w:instrText xml:space="preserve"> ADDIN EN.CITE.DATA </w:instrText>
            </w:r>
            <w:r w:rsidR="002A446C">
              <w:fldChar w:fldCharType="end"/>
            </w:r>
            <w:r w:rsidRPr="00E54537">
              <w:fldChar w:fldCharType="separate"/>
            </w:r>
            <w:r w:rsidR="002A446C">
              <w:rPr>
                <w:noProof/>
              </w:rPr>
              <w:t>[39]</w:t>
            </w:r>
            <w:r w:rsidRPr="00E54537">
              <w:fldChar w:fldCharType="end"/>
            </w:r>
          </w:p>
        </w:tc>
        <w:tc>
          <w:tcPr>
            <w:tcW w:w="4099" w:type="pct"/>
          </w:tcPr>
          <w:p w14:paraId="7F22D243" w14:textId="77777777" w:rsidR="00785D38" w:rsidRPr="00E54537" w:rsidRDefault="00785D38" w:rsidP="00E866CB">
            <w:pPr>
              <w:pStyle w:val="MDPI42tablebody"/>
              <w:jc w:val="left"/>
            </w:pPr>
            <w:r w:rsidRPr="00E54537">
              <w:t>ICD-10: U09.9</w:t>
            </w:r>
          </w:p>
        </w:tc>
      </w:tr>
      <w:tr w:rsidR="00785D38" w:rsidRPr="00E54537" w14:paraId="2BD15BE1" w14:textId="77777777" w:rsidTr="00785D38">
        <w:trPr>
          <w:trHeight w:val="373"/>
          <w:jc w:val="center"/>
        </w:trPr>
        <w:tc>
          <w:tcPr>
            <w:tcW w:w="901" w:type="pct"/>
          </w:tcPr>
          <w:p w14:paraId="10B3E8F9" w14:textId="5DAC4A0A" w:rsidR="00785D38" w:rsidRPr="00E54537" w:rsidRDefault="00785D38" w:rsidP="00E866CB">
            <w:pPr>
              <w:pStyle w:val="MDPI42tablebody"/>
              <w:jc w:val="left"/>
            </w:pPr>
            <w:r w:rsidRPr="00E54537">
              <w:t xml:space="preserve">Melnick 2023 </w:t>
            </w:r>
            <w:r w:rsidRPr="00E54537">
              <w:fldChar w:fldCharType="begin"/>
            </w:r>
            <w:r w:rsidR="002A446C">
              <w:instrText xml:space="preserve"> ADDIN EN.CITE &lt;EndNote&gt;&lt;Cite&gt;&lt;Author&gt;Melnick&lt;/Author&gt;&lt;Year&gt;2023&lt;/Year&gt;&lt;RecNum&gt;45&lt;/RecNum&gt;&lt;DisplayText&gt;&lt;style size="10"&gt;[38]&lt;/style&gt;&lt;/DisplayText&gt;&lt;record&gt;&lt;rec-number&gt;45&lt;/rec-number&gt;&lt;foreign-keys&gt;&lt;key app="EN" db-id="xddvrzwr5d95wged2vk5epfypxsst99z90as" timestamp="1712277451"&gt;45&lt;/key&gt;&lt;/foreign-keys&gt;&lt;ref-type name="Journal Article"&gt;17&lt;/ref-type&gt;&lt;contributors&gt;&lt;authors&gt;&lt;author&gt;Melnick, Glenn&lt;/author&gt;&lt;author&gt;O’Leary, June&lt;/author&gt;&lt;/authors&gt;&lt;/contributors&gt;&lt;titles&gt;&lt;title&gt;Exploring Long COVID: Healthcare Utilization Up to 360 Days after a COVID-19 Diagnosis—Results from Analysis of a Very Large US National Sample&lt;/title&gt;&lt;secondary-title&gt;Health&lt;/secondary-title&gt;&lt;/titles&gt;&lt;periodical&gt;&lt;full-title&gt;Health&lt;/full-title&gt;&lt;/periodical&gt;&lt;pages&gt;177-185&lt;/pages&gt;&lt;volume&gt;15&lt;/volume&gt;&lt;number&gt;02&lt;/number&gt;&lt;section&gt;177&lt;/section&gt;&lt;dates&gt;&lt;year&gt;2023&lt;/year&gt;&lt;/dates&gt;&lt;isbn&gt;1949-4998&amp;#xD;1949-5005&lt;/isbn&gt;&lt;urls&gt;&lt;/urls&gt;&lt;electronic-resource-num&gt;10.4236/health.2023.152014&lt;/electronic-resource-num&gt;&lt;/record&gt;&lt;/Cite&gt;&lt;/EndNote&gt;</w:instrText>
            </w:r>
            <w:r w:rsidRPr="00E54537">
              <w:fldChar w:fldCharType="separate"/>
            </w:r>
            <w:r w:rsidR="002A446C">
              <w:rPr>
                <w:noProof/>
              </w:rPr>
              <w:t>[38]</w:t>
            </w:r>
            <w:r w:rsidRPr="00E54537">
              <w:fldChar w:fldCharType="end"/>
            </w:r>
          </w:p>
        </w:tc>
        <w:tc>
          <w:tcPr>
            <w:tcW w:w="4099" w:type="pct"/>
          </w:tcPr>
          <w:p w14:paraId="60FD44BD" w14:textId="77777777" w:rsidR="00785D38" w:rsidRPr="00E54537" w:rsidRDefault="00785D38" w:rsidP="00E866CB">
            <w:pPr>
              <w:pStyle w:val="MDPI42tablebody"/>
              <w:jc w:val="left"/>
            </w:pPr>
            <w:r w:rsidRPr="00E54537">
              <w:t>ICD-10: B97.29, U07.1, J12.82, B94.8, and M35.89 for identification of individuals with subsequent COVID-19-related healthcare utilization</w:t>
            </w:r>
          </w:p>
          <w:p w14:paraId="6F42EDE9" w14:textId="77777777" w:rsidR="00785D38" w:rsidRPr="00E54537" w:rsidRDefault="00785D38" w:rsidP="00E866CB">
            <w:pPr>
              <w:pStyle w:val="MDPI42tablebody"/>
              <w:jc w:val="left"/>
            </w:pPr>
          </w:p>
          <w:p w14:paraId="75ADE905" w14:textId="77777777" w:rsidR="00785D38" w:rsidRPr="00E54537" w:rsidRDefault="00785D38" w:rsidP="00E866CB">
            <w:pPr>
              <w:pStyle w:val="MDPI42tablebody"/>
              <w:jc w:val="left"/>
            </w:pPr>
            <w:r w:rsidRPr="00E54537">
              <w:t>ICD-10: M35.8 and M35.81 were also indicative of sequelae of a COVID-19 diagnosis if code B94.8 was on the same claim line</w:t>
            </w:r>
          </w:p>
        </w:tc>
      </w:tr>
      <w:tr w:rsidR="00785D38" w:rsidRPr="00E54537" w14:paraId="23374DDA" w14:textId="77777777" w:rsidTr="00785D38">
        <w:trPr>
          <w:trHeight w:val="373"/>
          <w:jc w:val="center"/>
        </w:trPr>
        <w:tc>
          <w:tcPr>
            <w:tcW w:w="901" w:type="pct"/>
          </w:tcPr>
          <w:p w14:paraId="19BE9258" w14:textId="5A149070" w:rsidR="00785D38" w:rsidRPr="00E54537" w:rsidRDefault="00785D38" w:rsidP="00E866CB">
            <w:pPr>
              <w:pStyle w:val="MDPI42tablebody"/>
              <w:jc w:val="left"/>
            </w:pPr>
            <w:r w:rsidRPr="00E54537">
              <w:t xml:space="preserve">Mu 2023 </w:t>
            </w:r>
            <w:r w:rsidRPr="00E54537">
              <w:fldChar w:fldCharType="begin"/>
            </w:r>
            <w:r w:rsidR="002A446C">
              <w:instrText xml:space="preserve"> ADDIN EN.CITE &lt;EndNote&gt;&lt;Cite&gt;&lt;Author&gt;Mu&lt;/Author&gt;&lt;Year&gt;2023&lt;/Year&gt;&lt;RecNum&gt;64&lt;/RecNum&gt;&lt;DisplayText&gt;&lt;style size="10"&gt;[29]&lt;/style&gt;&lt;/DisplayText&gt;&lt;record&gt;&lt;rec-number&gt;64&lt;/rec-number&gt;&lt;foreign-keys&gt;&lt;key app="EN" db-id="xddvrzwr5d95wged2vk5epfypxsst99z90as" timestamp="1712279431"&gt;64&lt;/key&gt;&lt;/foreign-keys&gt;&lt;ref-type name="Journal Article"&gt;17&lt;/ref-type&gt;&lt;contributors&gt;&lt;authors&gt;&lt;author&gt;Mu, Yi&lt;/author&gt;&lt;author&gt;Dashtban, Ashkan&lt;/author&gt;&lt;author&gt;Mizani, Mehrdad&lt;/author&gt;&lt;author&gt;Tomlinson, Christopher&lt;/author&gt;&lt;author&gt;Mohamed, Mohamed&lt;/author&gt;&lt;author&gt;Ashworth, Mark&lt;/author&gt;&lt;author&gt;Mamas, Mamas&lt;/author&gt;&lt;author&gt;Priedon, Rouven&lt;/author&gt;&lt;author&gt;Petersen, Steffen&lt;/author&gt;&lt;author&gt;Kontopantelis, Evangelos&lt;/author&gt;&lt;author&gt;Pagel, Christina&lt;/author&gt;&lt;author&gt;Hocaoglu, Mevhibe&lt;/author&gt;&lt;author&gt;Khunti, Kamlesh&lt;/author&gt;&lt;author&gt;Williams, Richard&lt;/author&gt;&lt;author&gt;Thygesen, Johan&lt;/author&gt;&lt;author&gt;Lorgelly, Paula&lt;/author&gt;&lt;author&gt;Gomes, Manuel&lt;/author&gt;&lt;author&gt;Heightman, Melissa&lt;/author&gt;&lt;author&gt;Banerjee, Amitava&lt;/author&gt;&lt;/authors&gt;&lt;/contributors&gt;&lt;titles&gt;&lt;title&gt;Healthcare Utilisation of 282,080 Individuals with Long COVID over Two Years: A Multiple Matched Control Cohort Analysis (Preprint)&lt;/title&gt;&lt;/titles&gt;&lt;dates&gt;&lt;year&gt;2023&lt;/year&gt;&lt;/dates&gt;&lt;urls&gt;&lt;/urls&gt;&lt;electronic-resource-num&gt;10.2139/ssrn.4598962&lt;/electronic-resource-num&gt;&lt;/record&gt;&lt;/Cite&gt;&lt;/EndNote&gt;</w:instrText>
            </w:r>
            <w:r w:rsidRPr="00E54537">
              <w:fldChar w:fldCharType="separate"/>
            </w:r>
            <w:r w:rsidR="002A446C">
              <w:rPr>
                <w:noProof/>
              </w:rPr>
              <w:t>[29]</w:t>
            </w:r>
            <w:r w:rsidRPr="00E54537">
              <w:fldChar w:fldCharType="end"/>
            </w:r>
          </w:p>
        </w:tc>
        <w:tc>
          <w:tcPr>
            <w:tcW w:w="4099" w:type="pct"/>
          </w:tcPr>
          <w:p w14:paraId="3F00F802" w14:textId="77777777" w:rsidR="00785D38" w:rsidRPr="00E54537" w:rsidRDefault="00785D38" w:rsidP="00E866CB">
            <w:pPr>
              <w:pStyle w:val="MDPI42tablebody"/>
              <w:jc w:val="left"/>
            </w:pPr>
            <w:r w:rsidRPr="00E54537">
              <w:t xml:space="preserve">20 SNOMED-CT codes (e.g., 1325161000000102 Post-COVID-19 syndrome); ICD-10: U074 </w:t>
            </w:r>
          </w:p>
        </w:tc>
      </w:tr>
      <w:tr w:rsidR="00785D38" w:rsidRPr="00E54537" w14:paraId="2D75A5CC" w14:textId="77777777" w:rsidTr="00785D38">
        <w:trPr>
          <w:trHeight w:val="70"/>
          <w:jc w:val="center"/>
        </w:trPr>
        <w:tc>
          <w:tcPr>
            <w:tcW w:w="901" w:type="pct"/>
          </w:tcPr>
          <w:p w14:paraId="1BB277F8" w14:textId="7341C362" w:rsidR="00785D38" w:rsidRPr="00E54537" w:rsidRDefault="00785D38" w:rsidP="00E866CB">
            <w:pPr>
              <w:pStyle w:val="MDPI42tablebody"/>
              <w:jc w:val="left"/>
            </w:pPr>
            <w:r w:rsidRPr="00E54537">
              <w:t xml:space="preserve">Tartof 2022 </w:t>
            </w:r>
            <w:r w:rsidRPr="00E54537">
              <w:fldChar w:fldCharType="begin">
                <w:fldData xml:space="preserve">PEVuZE5vdGU+PENpdGU+PEF1dGhvcj5UYXJ0b2Y8L0F1dGhvcj48WWVhcj4yMDIyPC9ZZWFyPjxS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</w:fldData>
              </w:fldChar>
            </w:r>
            <w:r w:rsidR="002A446C">
              <w:instrText xml:space="preserve"> ADDIN EN.CITE </w:instrText>
            </w:r>
            <w:r w:rsidR="002A446C">
              <w:fldChar w:fldCharType="begin">
                <w:fldData xml:space="preserve">PEVuZE5vdGU+PENpdGU+PEF1dGhvcj5UYXJ0b2Y8L0F1dGhvcj48WWVhcj4yMDIyPC9ZZWFyPjxS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</w:fldData>
              </w:fldChar>
            </w:r>
            <w:r w:rsidR="002A446C">
              <w:instrText xml:space="preserve"> ADDIN EN.CITE.DATA </w:instrText>
            </w:r>
            <w:r w:rsidR="002A446C">
              <w:fldChar w:fldCharType="end"/>
            </w:r>
            <w:r w:rsidRPr="00E54537">
              <w:fldChar w:fldCharType="separate"/>
            </w:r>
            <w:r w:rsidR="002A446C">
              <w:rPr>
                <w:noProof/>
              </w:rPr>
              <w:t>[32]</w:t>
            </w:r>
            <w:r w:rsidRPr="00E54537">
              <w:fldChar w:fldCharType="end"/>
            </w:r>
          </w:p>
        </w:tc>
        <w:tc>
          <w:tcPr>
            <w:tcW w:w="4099" w:type="pct"/>
          </w:tcPr>
          <w:p w14:paraId="28B11B6B" w14:textId="77777777" w:rsidR="00785D38" w:rsidRPr="00E54537" w:rsidRDefault="00785D38" w:rsidP="00E866CB">
            <w:pPr>
              <w:pStyle w:val="MDPI42tablebody"/>
              <w:jc w:val="left"/>
            </w:pPr>
            <w:r w:rsidRPr="00E54537">
              <w:t>44 post-COVID condition (PCC) diagnosis categories, e.g., abdominal pain (R10), cough (R05) or constitutional fever/malaise/fatigue (R50, R61, R53, G93.3)</w:t>
            </w:r>
          </w:p>
        </w:tc>
      </w:tr>
      <w:tr w:rsidR="00785D38" w:rsidRPr="00E54537" w14:paraId="20EC13EB" w14:textId="77777777" w:rsidTr="00785D38">
        <w:trPr>
          <w:trHeight w:val="373"/>
          <w:jc w:val="center"/>
        </w:trPr>
        <w:tc>
          <w:tcPr>
            <w:tcW w:w="901" w:type="pct"/>
          </w:tcPr>
          <w:p w14:paraId="1566595B" w14:textId="3A0EBF4E" w:rsidR="00785D38" w:rsidRPr="00E54537" w:rsidRDefault="00785D38" w:rsidP="00E866CB">
            <w:pPr>
              <w:pStyle w:val="MDPI42tablebody"/>
              <w:jc w:val="left"/>
            </w:pPr>
            <w:r w:rsidRPr="00E54537">
              <w:t xml:space="preserve">Tene 2023 </w:t>
            </w:r>
            <w:r w:rsidRPr="00E54537">
              <w:fldChar w:fldCharType="begin">
                <w:fldData xml:space="preserve">PEVuZE5vdGU+PENpdGU+PEF1dGhvcj5UZW5lPC9BdXRob3I+PFllYXI+MjAyMzwvWWVhcj48UmVj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</w:fldData>
              </w:fldChar>
            </w:r>
            <w:r w:rsidR="002A446C">
              <w:instrText xml:space="preserve"> ADDIN EN.CITE </w:instrText>
            </w:r>
            <w:r w:rsidR="002A446C">
              <w:fldChar w:fldCharType="begin">
                <w:fldData xml:space="preserve">PEVuZE5vdGU+PENpdGU+PEF1dGhvcj5UZW5lPC9BdXRob3I+PFllYXI+MjAyMzwvWWVhcj48UmVj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</w:fldData>
              </w:fldChar>
            </w:r>
            <w:r w:rsidR="002A446C">
              <w:instrText xml:space="preserve"> ADDIN EN.CITE.DATA </w:instrText>
            </w:r>
            <w:r w:rsidR="002A446C">
              <w:fldChar w:fldCharType="end"/>
            </w:r>
            <w:r w:rsidRPr="00E54537">
              <w:fldChar w:fldCharType="separate"/>
            </w:r>
            <w:r w:rsidR="002A446C">
              <w:rPr>
                <w:noProof/>
              </w:rPr>
              <w:t>[25]</w:t>
            </w:r>
            <w:r w:rsidRPr="00E54537">
              <w:fldChar w:fldCharType="end"/>
            </w:r>
          </w:p>
        </w:tc>
        <w:tc>
          <w:tcPr>
            <w:tcW w:w="4099" w:type="pct"/>
          </w:tcPr>
          <w:p w14:paraId="127EAE29" w14:textId="77777777" w:rsidR="00785D38" w:rsidRPr="00E54537" w:rsidRDefault="00785D38" w:rsidP="00E866CB">
            <w:pPr>
              <w:pStyle w:val="MDPI42tablebody"/>
              <w:jc w:val="left"/>
            </w:pPr>
            <w:r w:rsidRPr="00E54537">
              <w:t>ICD diagnosis code of post-COVID-19 conditions (not specified)</w:t>
            </w:r>
          </w:p>
        </w:tc>
      </w:tr>
      <w:tr w:rsidR="00785D38" w:rsidRPr="00E54537" w14:paraId="265FEA76" w14:textId="77777777" w:rsidTr="00785D38">
        <w:trPr>
          <w:trHeight w:val="373"/>
          <w:jc w:val="center"/>
        </w:trPr>
        <w:tc>
          <w:tcPr>
            <w:tcW w:w="901" w:type="pct"/>
          </w:tcPr>
          <w:p w14:paraId="1BC4DA9E" w14:textId="761F8411" w:rsidR="00785D38" w:rsidRPr="00E54537" w:rsidRDefault="00785D38" w:rsidP="00E866CB">
            <w:pPr>
              <w:pStyle w:val="MDPI42tablebody"/>
              <w:jc w:val="left"/>
            </w:pPr>
            <w:r w:rsidRPr="00E54537">
              <w:t xml:space="preserve">Walter 2022 </w:t>
            </w:r>
            <w:r w:rsidRPr="00E54537">
              <w:fldChar w:fldCharType="begin">
                <w:fldData xml:space="preserve">PEVuZE5vdGU+PENpdGU+PEF1dGhvcj5XYWx0ZXI8L0F1dGhvcj48WWVhcj4yMDIyPC9ZZWFyPjxS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=
</w:fldData>
              </w:fldChar>
            </w:r>
            <w:r w:rsidR="002A446C">
              <w:instrText xml:space="preserve"> ADDIN EN.CITE </w:instrText>
            </w:r>
            <w:r w:rsidR="002A446C">
              <w:fldChar w:fldCharType="begin">
                <w:fldData xml:space="preserve">PEVuZE5vdGU+PENpdGU+PEF1dGhvcj5XYWx0ZXI8L0F1dGhvcj48WWVhcj4yMDIyPC9ZZWFyPjxS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=
</w:fldData>
              </w:fldChar>
            </w:r>
            <w:r w:rsidR="002A446C">
              <w:instrText xml:space="preserve"> ADDIN EN.CITE.DATA </w:instrText>
            </w:r>
            <w:r w:rsidR="002A446C">
              <w:fldChar w:fldCharType="end"/>
            </w:r>
            <w:r w:rsidRPr="00E54537">
              <w:fldChar w:fldCharType="separate"/>
            </w:r>
            <w:r w:rsidR="002A446C">
              <w:rPr>
                <w:noProof/>
              </w:rPr>
              <w:t>[44]</w:t>
            </w:r>
            <w:r w:rsidRPr="00E54537">
              <w:fldChar w:fldCharType="end"/>
            </w:r>
          </w:p>
        </w:tc>
        <w:tc>
          <w:tcPr>
            <w:tcW w:w="4099" w:type="pct"/>
          </w:tcPr>
          <w:p w14:paraId="6A03945F" w14:textId="77777777" w:rsidR="00785D38" w:rsidRPr="00E54537" w:rsidRDefault="00785D38" w:rsidP="00E866CB">
            <w:pPr>
              <w:pStyle w:val="MDPI42tablebody"/>
              <w:jc w:val="left"/>
            </w:pPr>
            <w:r w:rsidRPr="00E54537">
              <w:t>ICD-10: U09.9</w:t>
            </w:r>
          </w:p>
        </w:tc>
      </w:tr>
      <w:tr w:rsidR="00785D38" w:rsidRPr="00E54537" w14:paraId="03945E09" w14:textId="77777777" w:rsidTr="00785D38">
        <w:trPr>
          <w:trHeight w:val="373"/>
          <w:jc w:val="center"/>
        </w:trPr>
        <w:tc>
          <w:tcPr>
            <w:tcW w:w="5000" w:type="pct"/>
            <w:gridSpan w:val="2"/>
          </w:tcPr>
          <w:p w14:paraId="48B28490" w14:textId="77777777" w:rsidR="00785D38" w:rsidRPr="00E54537" w:rsidRDefault="00785D38" w:rsidP="00E866CB">
            <w:pPr>
              <w:pStyle w:val="MDPI42tablebody"/>
              <w:jc w:val="left"/>
              <w:rPr>
                <w:b/>
                <w:bCs/>
              </w:rPr>
            </w:pPr>
            <w:r w:rsidRPr="00E54537">
              <w:rPr>
                <w:b/>
                <w:bCs/>
              </w:rPr>
              <w:t>Other definitions (1 study)</w:t>
            </w:r>
          </w:p>
        </w:tc>
      </w:tr>
      <w:tr w:rsidR="00785D38" w:rsidRPr="00E54537" w14:paraId="5981635C" w14:textId="77777777" w:rsidTr="00785D38">
        <w:trPr>
          <w:trHeight w:val="373"/>
          <w:jc w:val="center"/>
        </w:trPr>
        <w:tc>
          <w:tcPr>
            <w:tcW w:w="901" w:type="pct"/>
          </w:tcPr>
          <w:p w14:paraId="6DE82AF3" w14:textId="1FE9DE9B" w:rsidR="00785D38" w:rsidRPr="00E54537" w:rsidRDefault="00785D38" w:rsidP="00E866CB">
            <w:pPr>
              <w:pStyle w:val="MDPI42tablebody"/>
              <w:jc w:val="left"/>
            </w:pPr>
            <w:r w:rsidRPr="00E54537">
              <w:t xml:space="preserve">Lo 2023 </w:t>
            </w:r>
            <w:r w:rsidRPr="00E54537">
              <w:fldChar w:fldCharType="begin">
                <w:fldData xml:space="preserve">PEVuZE5vdGU+PENpdGU+PEF1dGhvcj5MbzwvQXV0aG9yPjxZZWFyPjIwMjM8L1llYXI+PFJlY051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</w:fldData>
              </w:fldChar>
            </w:r>
            <w:r w:rsidR="002A446C">
              <w:instrText xml:space="preserve"> ADDIN EN.CITE </w:instrText>
            </w:r>
            <w:r w:rsidR="002A446C">
              <w:fldChar w:fldCharType="begin">
                <w:fldData xml:space="preserve">PEVuZE5vdGU+PENpdGU+PEF1dGhvcj5MbzwvQXV0aG9yPjxZZWFyPjIwMjM8L1llYXI+PFJlY051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</w:fldData>
              </w:fldChar>
            </w:r>
            <w:r w:rsidR="002A446C">
              <w:instrText xml:space="preserve"> ADDIN EN.CITE.DATA </w:instrText>
            </w:r>
            <w:r w:rsidR="002A446C">
              <w:fldChar w:fldCharType="end"/>
            </w:r>
            <w:r w:rsidRPr="00E54537">
              <w:fldChar w:fldCharType="separate"/>
            </w:r>
            <w:r w:rsidR="002A446C">
              <w:rPr>
                <w:noProof/>
              </w:rPr>
              <w:t>[26]</w:t>
            </w:r>
            <w:r w:rsidRPr="00E54537">
              <w:fldChar w:fldCharType="end"/>
            </w:r>
          </w:p>
        </w:tc>
        <w:tc>
          <w:tcPr>
            <w:tcW w:w="4099" w:type="pct"/>
          </w:tcPr>
          <w:p w14:paraId="7EC4A881" w14:textId="77777777" w:rsidR="00785D38" w:rsidRPr="00E54537" w:rsidRDefault="00785D38" w:rsidP="00E866CB">
            <w:pPr>
              <w:pStyle w:val="MDPI42tablebody"/>
              <w:jc w:val="left"/>
            </w:pPr>
            <w:r w:rsidRPr="00E54537">
              <w:t>Post-COVID-19 conditions were identified by a controlled before-after technique instead of a pre-defined list of conditions. Disease classes up to 3 years before the index date (“before”) and during the entire follow-up (“after”) period were examined for cases and matched controls; new disease classes (in the “after” period) between the case and control groups were compared</w:t>
            </w:r>
          </w:p>
        </w:tc>
      </w:tr>
    </w:tbl>
    <w:p w14:paraId="53CD9C0F" w14:textId="77777777" w:rsidR="00785D38" w:rsidRPr="00E54537" w:rsidRDefault="00785D38" w:rsidP="00EB7445">
      <w:pPr>
        <w:pStyle w:val="MDPI43tablefooter"/>
        <w:ind w:left="1020"/>
        <w:jc w:val="left"/>
      </w:pPr>
      <w:r w:rsidRPr="00E54537">
        <w:t>Abbreviations: ICD, International Classification of Diseases; RT-PCR, reverse transcriptase-polymerase chain reaction; WHO, World Health Organization.</w:t>
      </w:r>
      <w:r w:rsidRPr="00E54537">
        <w:br/>
        <w:t>Note: The following ICD codes appear in the long COVID definitions: B94.8 Sequelae of other specified infectious and parasitic diseases; B97.29 Other coronavirus as the cause of diseases classified elsewhere; J12.82 Pneumonia due to coronavirus disease 2019; M35.8 Other specified systemic involvement of connective tissue; M35.81</w:t>
      </w:r>
      <w:r w:rsidRPr="00E54537">
        <w:rPr>
          <w:rFonts w:eastAsia="SimSun" w:cs="Times New Roman"/>
          <w:sz w:val="20"/>
          <w:szCs w:val="20"/>
          <w:lang w:eastAsia="zh-CN" w:bidi="ar-SA"/>
        </w:rPr>
        <w:t xml:space="preserve"> </w:t>
      </w:r>
      <w:r w:rsidRPr="00E54537">
        <w:t xml:space="preserve">Multisystem inflammatory syndrome; M35.89 Other specified systemic involvement of connective tissue; U07.1 COVID-19; U074 Post-COVID-19 condition </w:t>
      </w:r>
    </w:p>
    <w:p w14:paraId="11E8CAE9" w14:textId="77777777" w:rsidR="00785D38" w:rsidRPr="00E54537" w:rsidRDefault="00785D38" w:rsidP="00EB7445">
      <w:pPr>
        <w:pStyle w:val="MDPI43tablefooter"/>
        <w:ind w:left="1020"/>
        <w:jc w:val="left"/>
      </w:pPr>
      <w:r w:rsidRPr="00E54537">
        <w:t xml:space="preserve">(based on study; no code in current ICD-10 version); U09.9 Post COVID-19 condition, unspecified; Z86.16 Personal history of COVID-19. </w:t>
      </w:r>
    </w:p>
    <w:p w14:paraId="7A6E3637" w14:textId="082B99C9" w:rsidR="00C833C0" w:rsidRPr="00E54537" w:rsidRDefault="00C833C0" w:rsidP="00EB7445">
      <w:pPr>
        <w:spacing w:line="240" w:lineRule="auto"/>
        <w:jc w:val="left"/>
        <w:rPr>
          <w:rFonts w:eastAsia="Times New Roman" w:cs="Cordia New"/>
          <w:sz w:val="18"/>
          <w:szCs w:val="22"/>
          <w:lang w:eastAsia="de-DE" w:bidi="en-US"/>
        </w:rPr>
      </w:pPr>
      <w:r w:rsidRPr="00E54537">
        <w:br w:type="page"/>
      </w:r>
    </w:p>
    <w:p w14:paraId="57992099" w14:textId="77777777" w:rsidR="00EF09C6" w:rsidRPr="00E54537" w:rsidRDefault="00EF09C6" w:rsidP="00F0297F">
      <w:pPr>
        <w:pStyle w:val="MDPI31text"/>
        <w:ind w:left="0" w:firstLine="0"/>
        <w:jc w:val="left"/>
        <w:rPr>
          <w:b/>
        </w:rPr>
        <w:sectPr w:rsidR="00EF09C6" w:rsidRPr="00E54537" w:rsidSect="000F0F33">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5ED1DE9F" w14:textId="77777777" w:rsidR="001E6B81" w:rsidRPr="00E54537" w:rsidRDefault="001E6B81" w:rsidP="00F0297F">
      <w:pPr>
        <w:pStyle w:val="MDPI31text"/>
        <w:ind w:left="0" w:firstLine="0"/>
        <w:jc w:val="left"/>
        <w:rPr>
          <w:b/>
        </w:rPr>
      </w:pPr>
    </w:p>
    <w:p w14:paraId="4A5B7277" w14:textId="5C9D0EAA" w:rsidR="00C833C0" w:rsidRPr="00E54537" w:rsidRDefault="00F0297F" w:rsidP="00F0297F">
      <w:pPr>
        <w:pStyle w:val="MDPI31text"/>
        <w:ind w:left="0" w:firstLine="0"/>
        <w:jc w:val="left"/>
        <w:rPr>
          <w:b/>
        </w:rPr>
      </w:pPr>
      <w:r w:rsidRPr="00E54537">
        <w:rPr>
          <w:b/>
        </w:rPr>
        <w:t xml:space="preserve">Supplementary </w:t>
      </w:r>
      <w:r w:rsidR="00C833C0" w:rsidRPr="00E54537">
        <w:rPr>
          <w:b/>
        </w:rPr>
        <w:t xml:space="preserve">Table </w:t>
      </w:r>
      <w:r w:rsidR="00AB2505" w:rsidRPr="00E54537">
        <w:rPr>
          <w:b/>
        </w:rPr>
        <w:t>5</w:t>
      </w:r>
      <w:r w:rsidRPr="00E54537">
        <w:rPr>
          <w:b/>
        </w:rPr>
        <w:t>.</w:t>
      </w:r>
      <w:r w:rsidR="00171E87" w:rsidRPr="00E54537">
        <w:rPr>
          <w:b/>
        </w:rPr>
        <w:t xml:space="preserve"> Summary of study results on </w:t>
      </w:r>
      <w:r w:rsidR="00575BC0" w:rsidRPr="00E54537">
        <w:rPr>
          <w:b/>
          <w:bCs/>
        </w:rPr>
        <w:t xml:space="preserve">long-term HCRU in patients with long COVID or </w:t>
      </w:r>
      <w:r w:rsidR="00736E15" w:rsidRPr="00E54537">
        <w:rPr>
          <w:b/>
          <w:bCs/>
        </w:rPr>
        <w:t>with persistent sympto</w:t>
      </w:r>
      <w:r w:rsidR="00184C20" w:rsidRPr="00E54537">
        <w:rPr>
          <w:b/>
          <w:bCs/>
        </w:rPr>
        <w:t>m</w:t>
      </w:r>
      <w:r w:rsidR="00736E15" w:rsidRPr="00E54537">
        <w:rPr>
          <w:b/>
          <w:bCs/>
        </w:rPr>
        <w:t xml:space="preserve">s of </w:t>
      </w:r>
      <w:r w:rsidR="00575BC0" w:rsidRPr="00E54537">
        <w:rPr>
          <w:b/>
          <w:bCs/>
        </w:rPr>
        <w:t>COVID-19</w:t>
      </w:r>
      <w:r w:rsidR="00575BC0" w:rsidRPr="00E54537">
        <w:rPr>
          <w:b/>
        </w:rPr>
        <w:t xml:space="preserve"> </w:t>
      </w:r>
    </w:p>
    <w:tbl>
      <w:tblPr>
        <w:tblStyle w:val="TableGrid"/>
        <w:tblW w:w="5000" w:type="pct"/>
        <w:jc w:val="right"/>
        <w:tblLook w:val="0420" w:firstRow="1" w:lastRow="0" w:firstColumn="0" w:lastColumn="0" w:noHBand="0" w:noVBand="1"/>
      </w:tblPr>
      <w:tblGrid>
        <w:gridCol w:w="1574"/>
        <w:gridCol w:w="3242"/>
        <w:gridCol w:w="1591"/>
        <w:gridCol w:w="7926"/>
      </w:tblGrid>
      <w:tr w:rsidR="00C833C0" w:rsidRPr="00E54537" w14:paraId="5B657DCB" w14:textId="77777777" w:rsidTr="00184C20">
        <w:trPr>
          <w:tblHeader/>
          <w:jc w:val="right"/>
        </w:trPr>
        <w:tc>
          <w:tcPr>
            <w:tcW w:w="549" w:type="pct"/>
            <w:hideMark/>
          </w:tcPr>
          <w:p w14:paraId="31430F68" w14:textId="77777777" w:rsidR="00C833C0" w:rsidRPr="00E54537" w:rsidRDefault="00C833C0" w:rsidP="009628F7">
            <w:pPr>
              <w:pStyle w:val="MDPI42tablebody"/>
              <w:jc w:val="left"/>
              <w:rPr>
                <w:b/>
                <w:bCs/>
                <w:sz w:val="16"/>
                <w:szCs w:val="16"/>
              </w:rPr>
            </w:pPr>
            <w:r w:rsidRPr="00E54537">
              <w:rPr>
                <w:b/>
                <w:bCs/>
                <w:sz w:val="16"/>
                <w:szCs w:val="16"/>
              </w:rPr>
              <w:t>Study</w:t>
            </w:r>
          </w:p>
        </w:tc>
        <w:tc>
          <w:tcPr>
            <w:tcW w:w="1131" w:type="pct"/>
            <w:hideMark/>
          </w:tcPr>
          <w:p w14:paraId="74B2C9E4" w14:textId="77777777" w:rsidR="00C833C0" w:rsidRPr="00E54537" w:rsidRDefault="00C833C0" w:rsidP="009628F7">
            <w:pPr>
              <w:pStyle w:val="MDPI42tablebody"/>
              <w:jc w:val="left"/>
              <w:rPr>
                <w:b/>
                <w:bCs/>
                <w:sz w:val="16"/>
                <w:szCs w:val="16"/>
              </w:rPr>
            </w:pPr>
            <w:r w:rsidRPr="00E54537">
              <w:rPr>
                <w:b/>
                <w:bCs/>
                <w:sz w:val="16"/>
                <w:szCs w:val="16"/>
              </w:rPr>
              <w:t>Study arm(s)</w:t>
            </w:r>
          </w:p>
        </w:tc>
        <w:tc>
          <w:tcPr>
            <w:tcW w:w="555" w:type="pct"/>
          </w:tcPr>
          <w:p w14:paraId="09F82A1D" w14:textId="77777777" w:rsidR="00C833C0" w:rsidRPr="00E54537" w:rsidRDefault="00C833C0" w:rsidP="009628F7">
            <w:pPr>
              <w:pStyle w:val="MDPI42tablebody"/>
              <w:jc w:val="left"/>
              <w:rPr>
                <w:b/>
                <w:bCs/>
                <w:sz w:val="16"/>
                <w:szCs w:val="16"/>
              </w:rPr>
            </w:pPr>
            <w:r w:rsidRPr="00E54537">
              <w:rPr>
                <w:b/>
                <w:bCs/>
                <w:sz w:val="16"/>
                <w:szCs w:val="16"/>
              </w:rPr>
              <w:t>Follow-up</w:t>
            </w:r>
          </w:p>
        </w:tc>
        <w:tc>
          <w:tcPr>
            <w:tcW w:w="2765" w:type="pct"/>
          </w:tcPr>
          <w:p w14:paraId="10745ECC" w14:textId="77777777" w:rsidR="00C833C0" w:rsidRPr="00E54537" w:rsidRDefault="00C833C0" w:rsidP="009628F7">
            <w:pPr>
              <w:pStyle w:val="MDPI42tablebody"/>
              <w:jc w:val="left"/>
              <w:rPr>
                <w:b/>
                <w:bCs/>
                <w:sz w:val="16"/>
                <w:szCs w:val="16"/>
              </w:rPr>
            </w:pPr>
            <w:r w:rsidRPr="00E54537">
              <w:rPr>
                <w:b/>
                <w:bCs/>
                <w:sz w:val="16"/>
                <w:szCs w:val="16"/>
              </w:rPr>
              <w:t>Results</w:t>
            </w:r>
          </w:p>
        </w:tc>
      </w:tr>
      <w:tr w:rsidR="00C833C0" w:rsidRPr="00E54537" w14:paraId="58A44714" w14:textId="77777777" w:rsidTr="00707D60">
        <w:trPr>
          <w:trHeight w:val="362"/>
          <w:jc w:val="right"/>
        </w:trPr>
        <w:tc>
          <w:tcPr>
            <w:tcW w:w="5000" w:type="pct"/>
            <w:gridSpan w:val="4"/>
            <w:shd w:val="clear" w:color="auto" w:fill="D9D9D9" w:themeFill="background1" w:themeFillShade="D9"/>
            <w:hideMark/>
          </w:tcPr>
          <w:p w14:paraId="5F97ABBC" w14:textId="77777777" w:rsidR="00C833C0" w:rsidRPr="00E54537" w:rsidRDefault="00C833C0" w:rsidP="009628F7">
            <w:pPr>
              <w:pStyle w:val="MDPI42tablebody"/>
              <w:jc w:val="left"/>
              <w:rPr>
                <w:b/>
                <w:bCs/>
                <w:sz w:val="16"/>
                <w:szCs w:val="16"/>
              </w:rPr>
            </w:pPr>
            <w:r w:rsidRPr="00E54537">
              <w:rPr>
                <w:b/>
                <w:bCs/>
                <w:sz w:val="16"/>
                <w:szCs w:val="16"/>
              </w:rPr>
              <w:t>Overall</w:t>
            </w:r>
          </w:p>
        </w:tc>
      </w:tr>
      <w:tr w:rsidR="00707D60" w:rsidRPr="00E54537" w14:paraId="59447361" w14:textId="77777777" w:rsidTr="00F0297F">
        <w:trPr>
          <w:trHeight w:val="362"/>
          <w:jc w:val="right"/>
        </w:trPr>
        <w:tc>
          <w:tcPr>
            <w:tcW w:w="5000" w:type="pct"/>
            <w:gridSpan w:val="4"/>
          </w:tcPr>
          <w:p w14:paraId="1D36C586" w14:textId="79DEC8AE" w:rsidR="00707D60" w:rsidRPr="00E54537" w:rsidRDefault="00707D60" w:rsidP="009628F7">
            <w:pPr>
              <w:pStyle w:val="MDPI42tablebody"/>
              <w:jc w:val="left"/>
              <w:rPr>
                <w:b/>
                <w:bCs/>
                <w:sz w:val="16"/>
                <w:szCs w:val="16"/>
              </w:rPr>
            </w:pPr>
            <w:r w:rsidRPr="00E54537">
              <w:rPr>
                <w:b/>
                <w:bCs/>
                <w:sz w:val="16"/>
                <w:szCs w:val="16"/>
              </w:rPr>
              <w:t>Long COVID</w:t>
            </w:r>
          </w:p>
        </w:tc>
      </w:tr>
      <w:tr w:rsidR="00C833C0" w:rsidRPr="00E54537" w14:paraId="36566F07" w14:textId="77777777" w:rsidTr="00C62F56">
        <w:trPr>
          <w:trHeight w:val="766"/>
          <w:jc w:val="right"/>
        </w:trPr>
        <w:tc>
          <w:tcPr>
            <w:tcW w:w="549" w:type="pct"/>
          </w:tcPr>
          <w:p w14:paraId="3147A6CE" w14:textId="77777777" w:rsidR="00C833C0" w:rsidRPr="00E54537" w:rsidRDefault="00C833C0" w:rsidP="009628F7">
            <w:pPr>
              <w:pStyle w:val="MDPI42tablebody"/>
              <w:jc w:val="left"/>
              <w:rPr>
                <w:sz w:val="16"/>
                <w:szCs w:val="16"/>
              </w:rPr>
            </w:pPr>
            <w:r w:rsidRPr="00E54537">
              <w:rPr>
                <w:sz w:val="16"/>
                <w:szCs w:val="16"/>
              </w:rPr>
              <w:t>Debski 2022</w:t>
            </w:r>
          </w:p>
        </w:tc>
        <w:tc>
          <w:tcPr>
            <w:tcW w:w="1131" w:type="pct"/>
          </w:tcPr>
          <w:p w14:paraId="24D6ECD4"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Patients with post-COVID syndrome</w:t>
            </w:r>
          </w:p>
        </w:tc>
        <w:tc>
          <w:tcPr>
            <w:tcW w:w="555" w:type="pct"/>
          </w:tcPr>
          <w:p w14:paraId="64483923" w14:textId="77777777" w:rsidR="00C833C0" w:rsidRPr="00E54537" w:rsidRDefault="00C833C0" w:rsidP="009628F7">
            <w:pPr>
              <w:pStyle w:val="MDPI42tablebody"/>
              <w:jc w:val="left"/>
              <w:rPr>
                <w:sz w:val="16"/>
                <w:szCs w:val="16"/>
              </w:rPr>
            </w:pPr>
            <w:r w:rsidRPr="00E54537">
              <w:rPr>
                <w:sz w:val="16"/>
                <w:szCs w:val="16"/>
              </w:rPr>
              <w:t>NA</w:t>
            </w:r>
          </w:p>
        </w:tc>
        <w:tc>
          <w:tcPr>
            <w:tcW w:w="2765" w:type="pct"/>
          </w:tcPr>
          <w:p w14:paraId="41C4CF6D" w14:textId="1EF71074" w:rsidR="00C833C0" w:rsidRPr="00E54537" w:rsidRDefault="00C833C0" w:rsidP="009628F7">
            <w:pPr>
              <w:pStyle w:val="MDPI42tablebody"/>
              <w:jc w:val="both"/>
              <w:rPr>
                <w:sz w:val="16"/>
                <w:szCs w:val="16"/>
              </w:rPr>
            </w:pPr>
            <w:r w:rsidRPr="00E54537">
              <w:rPr>
                <w:sz w:val="16"/>
                <w:szCs w:val="16"/>
              </w:rPr>
              <w:t xml:space="preserve">Overall, patients with post-COVID-19 symptoms had </w:t>
            </w:r>
            <w:r w:rsidR="00767AE2" w:rsidRPr="00E54537">
              <w:rPr>
                <w:sz w:val="16"/>
                <w:szCs w:val="16"/>
              </w:rPr>
              <w:t xml:space="preserve">an </w:t>
            </w:r>
            <w:r w:rsidRPr="00E54537">
              <w:rPr>
                <w:sz w:val="16"/>
                <w:szCs w:val="16"/>
              </w:rPr>
              <w:t>increased probability of using health services compared with those without symptoms (RR = 3.28, 95% CI: 2.54–4.26; p &lt; 0.05).</w:t>
            </w:r>
          </w:p>
        </w:tc>
      </w:tr>
      <w:tr w:rsidR="00C833C0" w:rsidRPr="00E54537" w14:paraId="76DB3F0C" w14:textId="77777777" w:rsidTr="00C62F56">
        <w:trPr>
          <w:trHeight w:val="766"/>
          <w:jc w:val="right"/>
        </w:trPr>
        <w:tc>
          <w:tcPr>
            <w:tcW w:w="549" w:type="pct"/>
          </w:tcPr>
          <w:p w14:paraId="2CEE1EA2" w14:textId="77777777" w:rsidR="00C833C0" w:rsidRPr="00E54537" w:rsidRDefault="00C833C0" w:rsidP="009628F7">
            <w:pPr>
              <w:pStyle w:val="MDPI42tablebody"/>
              <w:jc w:val="left"/>
              <w:rPr>
                <w:sz w:val="16"/>
                <w:szCs w:val="16"/>
              </w:rPr>
            </w:pPr>
            <w:r w:rsidRPr="00E54537">
              <w:rPr>
                <w:sz w:val="16"/>
                <w:szCs w:val="16"/>
              </w:rPr>
              <w:t>Woldegiorgis 2023</w:t>
            </w:r>
          </w:p>
        </w:tc>
        <w:tc>
          <w:tcPr>
            <w:tcW w:w="1131" w:type="pct"/>
          </w:tcPr>
          <w:p w14:paraId="461A0471"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COVID</w:t>
            </w:r>
          </w:p>
        </w:tc>
        <w:tc>
          <w:tcPr>
            <w:tcW w:w="555" w:type="pct"/>
          </w:tcPr>
          <w:p w14:paraId="6F2949DA" w14:textId="77777777" w:rsidR="00C833C0" w:rsidRPr="00E54537" w:rsidRDefault="00C833C0" w:rsidP="009628F7">
            <w:pPr>
              <w:pStyle w:val="MDPI42tablebody"/>
              <w:jc w:val="left"/>
              <w:rPr>
                <w:sz w:val="16"/>
                <w:szCs w:val="16"/>
              </w:rPr>
            </w:pPr>
            <w:r w:rsidRPr="00E54537">
              <w:rPr>
                <w:sz w:val="16"/>
                <w:szCs w:val="16"/>
              </w:rPr>
              <w:t>3 months</w:t>
            </w:r>
          </w:p>
        </w:tc>
        <w:tc>
          <w:tcPr>
            <w:tcW w:w="2765" w:type="pct"/>
          </w:tcPr>
          <w:p w14:paraId="1E031221" w14:textId="77777777" w:rsidR="00C833C0" w:rsidRPr="00E54537" w:rsidRDefault="00C833C0" w:rsidP="009628F7">
            <w:pPr>
              <w:pStyle w:val="MDPI42tablebody"/>
              <w:jc w:val="both"/>
              <w:rPr>
                <w:sz w:val="16"/>
                <w:szCs w:val="16"/>
              </w:rPr>
            </w:pPr>
            <w:r w:rsidRPr="00E54537">
              <w:rPr>
                <w:sz w:val="16"/>
                <w:szCs w:val="16"/>
              </w:rPr>
              <w:t>Over 38.7% of patients with long COVID sought healthcare services because of ongoing symptoms 3 months post-diagnosis of COVID-19; 38.2% scheduled a GP appointment, 3.9% presented to ED, and 1.6% were admitted to hospital.</w:t>
            </w:r>
          </w:p>
        </w:tc>
      </w:tr>
      <w:tr w:rsidR="00C833C0" w:rsidRPr="00E54537" w14:paraId="48F33C85" w14:textId="77777777" w:rsidTr="00C62F56">
        <w:trPr>
          <w:trHeight w:val="373"/>
          <w:jc w:val="right"/>
        </w:trPr>
        <w:tc>
          <w:tcPr>
            <w:tcW w:w="549" w:type="pct"/>
          </w:tcPr>
          <w:p w14:paraId="540E9F00" w14:textId="77777777" w:rsidR="00C833C0" w:rsidRPr="00E54537" w:rsidRDefault="00C833C0" w:rsidP="009628F7">
            <w:pPr>
              <w:pStyle w:val="MDPI42tablebody"/>
              <w:jc w:val="left"/>
              <w:rPr>
                <w:sz w:val="16"/>
                <w:szCs w:val="16"/>
              </w:rPr>
            </w:pPr>
            <w:r w:rsidRPr="00E54537">
              <w:rPr>
                <w:sz w:val="16"/>
                <w:szCs w:val="16"/>
              </w:rPr>
              <w:t>Nehme 2022</w:t>
            </w:r>
          </w:p>
        </w:tc>
        <w:tc>
          <w:tcPr>
            <w:tcW w:w="1131" w:type="pct"/>
          </w:tcPr>
          <w:p w14:paraId="4FF6B5B7"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Post-COVID condition with chronification of symptoms;</w:t>
            </w:r>
          </w:p>
          <w:p w14:paraId="46A60AD7"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Post-COVID condition without chronification of symptoms;</w:t>
            </w:r>
          </w:p>
          <w:p w14:paraId="6AFAC061"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COVID-19 without post-COVID condition;</w:t>
            </w:r>
          </w:p>
          <w:p w14:paraId="30B3471E"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No COVID-19</w:t>
            </w:r>
          </w:p>
        </w:tc>
        <w:tc>
          <w:tcPr>
            <w:tcW w:w="555" w:type="pct"/>
          </w:tcPr>
          <w:p w14:paraId="68BC29BB" w14:textId="77777777" w:rsidR="00C833C0" w:rsidRPr="00E54537" w:rsidRDefault="00C833C0" w:rsidP="009628F7">
            <w:pPr>
              <w:pStyle w:val="MDPI42tablebody"/>
              <w:jc w:val="left"/>
              <w:rPr>
                <w:sz w:val="16"/>
                <w:szCs w:val="16"/>
              </w:rPr>
            </w:pPr>
            <w:r w:rsidRPr="00E54537">
              <w:rPr>
                <w:sz w:val="16"/>
                <w:szCs w:val="16"/>
              </w:rPr>
              <w:t>15 months</w:t>
            </w:r>
          </w:p>
        </w:tc>
        <w:tc>
          <w:tcPr>
            <w:tcW w:w="2765" w:type="pct"/>
          </w:tcPr>
          <w:p w14:paraId="1599D0FD" w14:textId="77777777" w:rsidR="00C833C0" w:rsidRPr="00E54537" w:rsidRDefault="00C833C0" w:rsidP="009628F7">
            <w:pPr>
              <w:pStyle w:val="MDPI42tablebody"/>
              <w:jc w:val="left"/>
              <w:rPr>
                <w:sz w:val="16"/>
                <w:szCs w:val="16"/>
              </w:rPr>
            </w:pPr>
            <w:r w:rsidRPr="00E54537">
              <w:rPr>
                <w:sz w:val="16"/>
                <w:szCs w:val="16"/>
              </w:rPr>
              <w:t>Symptom chronicity (lasting up to 15 months post-infection) led to increased overall healthcare service utilization (62.2%) compared with individuals with post-COVID-19 without persistent symptoms (43.6%), individuals without post-COVID-19 (27.9%), and those without positive SARS-CoV-2 test results (31.6%).</w:t>
            </w:r>
          </w:p>
        </w:tc>
      </w:tr>
      <w:tr w:rsidR="00707D60" w:rsidRPr="00E54537" w14:paraId="169CC9CF" w14:textId="77777777" w:rsidTr="00707D60">
        <w:trPr>
          <w:trHeight w:val="373"/>
          <w:jc w:val="right"/>
        </w:trPr>
        <w:tc>
          <w:tcPr>
            <w:tcW w:w="5000" w:type="pct"/>
            <w:gridSpan w:val="4"/>
          </w:tcPr>
          <w:p w14:paraId="1D1A5788" w14:textId="7E0E5EAD" w:rsidR="00707D60" w:rsidRPr="00E54537" w:rsidRDefault="00707D60" w:rsidP="009628F7">
            <w:pPr>
              <w:pStyle w:val="MDPI42tablebody"/>
              <w:jc w:val="left"/>
              <w:rPr>
                <w:b/>
                <w:bCs/>
                <w:sz w:val="16"/>
                <w:szCs w:val="16"/>
              </w:rPr>
            </w:pPr>
            <w:r w:rsidRPr="00E54537">
              <w:rPr>
                <w:b/>
                <w:bCs/>
                <w:sz w:val="16"/>
                <w:szCs w:val="16"/>
              </w:rPr>
              <w:t>Long-term HCRU in patients with COVID-19</w:t>
            </w:r>
          </w:p>
        </w:tc>
      </w:tr>
      <w:tr w:rsidR="0059496A" w:rsidRPr="00E54537" w14:paraId="00AFC26A" w14:textId="77777777" w:rsidTr="00C62F56">
        <w:trPr>
          <w:trHeight w:val="373"/>
          <w:jc w:val="right"/>
        </w:trPr>
        <w:tc>
          <w:tcPr>
            <w:tcW w:w="549" w:type="pct"/>
          </w:tcPr>
          <w:p w14:paraId="3B211F8E" w14:textId="1D02E760" w:rsidR="0059496A" w:rsidRPr="00E54537" w:rsidRDefault="006C4B98" w:rsidP="009628F7">
            <w:pPr>
              <w:pStyle w:val="MDPI42tablebody"/>
              <w:jc w:val="left"/>
              <w:rPr>
                <w:sz w:val="16"/>
                <w:szCs w:val="16"/>
              </w:rPr>
            </w:pPr>
            <w:r w:rsidRPr="00E54537">
              <w:rPr>
                <w:sz w:val="16"/>
                <w:szCs w:val="16"/>
              </w:rPr>
              <w:t>Ashman 2023</w:t>
            </w:r>
          </w:p>
        </w:tc>
        <w:tc>
          <w:tcPr>
            <w:tcW w:w="1131" w:type="pct"/>
          </w:tcPr>
          <w:p w14:paraId="00C4694D" w14:textId="5DD3FC9D" w:rsidR="0059496A" w:rsidRPr="00E54537" w:rsidRDefault="008C784D" w:rsidP="00EC5B81">
            <w:pPr>
              <w:pStyle w:val="MDPI42tablebody"/>
              <w:numPr>
                <w:ilvl w:val="0"/>
                <w:numId w:val="41"/>
              </w:numPr>
              <w:ind w:left="113" w:hanging="113"/>
              <w:jc w:val="left"/>
              <w:rPr>
                <w:sz w:val="16"/>
                <w:szCs w:val="16"/>
              </w:rPr>
            </w:pPr>
            <w:r w:rsidRPr="00E54537">
              <w:rPr>
                <w:sz w:val="16"/>
                <w:szCs w:val="16"/>
              </w:rPr>
              <w:t>COVID-19</w:t>
            </w:r>
            <w:r w:rsidR="006B7E3E" w:rsidRPr="00E54537">
              <w:rPr>
                <w:sz w:val="16"/>
                <w:szCs w:val="16"/>
              </w:rPr>
              <w:t xml:space="preserve"> (hospitalized)</w:t>
            </w:r>
          </w:p>
        </w:tc>
        <w:tc>
          <w:tcPr>
            <w:tcW w:w="555" w:type="pct"/>
          </w:tcPr>
          <w:p w14:paraId="0A0852DE" w14:textId="25EE4D63" w:rsidR="0059496A" w:rsidRPr="00E54537" w:rsidRDefault="008C784D" w:rsidP="009628F7">
            <w:pPr>
              <w:pStyle w:val="MDPI42tablebody"/>
              <w:jc w:val="left"/>
              <w:rPr>
                <w:sz w:val="16"/>
                <w:szCs w:val="16"/>
              </w:rPr>
            </w:pPr>
            <w:r w:rsidRPr="00E54537">
              <w:rPr>
                <w:sz w:val="16"/>
                <w:szCs w:val="16"/>
              </w:rPr>
              <w:t>6 months</w:t>
            </w:r>
          </w:p>
        </w:tc>
        <w:tc>
          <w:tcPr>
            <w:tcW w:w="2765" w:type="pct"/>
          </w:tcPr>
          <w:p w14:paraId="63765464" w14:textId="77777777" w:rsidR="008C784D" w:rsidRPr="00E54537" w:rsidRDefault="008C784D" w:rsidP="008C784D">
            <w:pPr>
              <w:pStyle w:val="MDPI42tablebody"/>
              <w:jc w:val="left"/>
              <w:rPr>
                <w:sz w:val="16"/>
                <w:szCs w:val="16"/>
              </w:rPr>
            </w:pPr>
            <w:r w:rsidRPr="00E54537">
              <w:rPr>
                <w:sz w:val="16"/>
                <w:szCs w:val="16"/>
              </w:rPr>
              <w:t>87.8% of patients required care at 28-135 days post-hospital discharge.</w:t>
            </w:r>
          </w:p>
          <w:p w14:paraId="7C5FC259" w14:textId="4FE5F4F3" w:rsidR="0059496A" w:rsidRPr="00E54537" w:rsidRDefault="008C784D" w:rsidP="009628F7">
            <w:pPr>
              <w:pStyle w:val="MDPI42tablebody"/>
              <w:jc w:val="left"/>
              <w:rPr>
                <w:sz w:val="16"/>
                <w:szCs w:val="16"/>
              </w:rPr>
            </w:pPr>
            <w:r w:rsidRPr="00E54537">
              <w:rPr>
                <w:sz w:val="16"/>
                <w:szCs w:val="16"/>
              </w:rPr>
              <w:t>27.1% of appointments involved COVID-19 diagnosis, among which most (56.1%) were with physiotherapists.</w:t>
            </w:r>
          </w:p>
        </w:tc>
      </w:tr>
      <w:tr w:rsidR="0059496A" w:rsidRPr="00E54537" w14:paraId="7849B3F2" w14:textId="77777777" w:rsidTr="00C62F56">
        <w:trPr>
          <w:trHeight w:val="373"/>
          <w:jc w:val="right"/>
        </w:trPr>
        <w:tc>
          <w:tcPr>
            <w:tcW w:w="549" w:type="pct"/>
          </w:tcPr>
          <w:p w14:paraId="0E5154AB" w14:textId="3E66522C" w:rsidR="0059496A" w:rsidRPr="00E54537" w:rsidRDefault="00CD0FE2" w:rsidP="009628F7">
            <w:pPr>
              <w:pStyle w:val="MDPI42tablebody"/>
              <w:jc w:val="left"/>
              <w:rPr>
                <w:sz w:val="16"/>
                <w:szCs w:val="16"/>
              </w:rPr>
            </w:pPr>
            <w:r w:rsidRPr="00E54537">
              <w:rPr>
                <w:sz w:val="16"/>
                <w:szCs w:val="16"/>
              </w:rPr>
              <w:t>Menges 2021</w:t>
            </w:r>
          </w:p>
        </w:tc>
        <w:tc>
          <w:tcPr>
            <w:tcW w:w="1131" w:type="pct"/>
          </w:tcPr>
          <w:p w14:paraId="6129E156" w14:textId="77D924CC" w:rsidR="0059496A" w:rsidRPr="00E54537" w:rsidRDefault="00C83322" w:rsidP="00EC5B81">
            <w:pPr>
              <w:pStyle w:val="MDPI42tablebody"/>
              <w:numPr>
                <w:ilvl w:val="0"/>
                <w:numId w:val="41"/>
              </w:numPr>
              <w:ind w:left="113" w:hanging="113"/>
              <w:jc w:val="left"/>
              <w:rPr>
                <w:sz w:val="16"/>
                <w:szCs w:val="16"/>
              </w:rPr>
            </w:pPr>
            <w:r w:rsidRPr="00E54537">
              <w:rPr>
                <w:sz w:val="16"/>
                <w:szCs w:val="16"/>
              </w:rPr>
              <w:t>COVID-19</w:t>
            </w:r>
          </w:p>
        </w:tc>
        <w:tc>
          <w:tcPr>
            <w:tcW w:w="555" w:type="pct"/>
          </w:tcPr>
          <w:p w14:paraId="1EB68972" w14:textId="02C379B5" w:rsidR="0059496A" w:rsidRPr="00E54537" w:rsidRDefault="00CD0FE2" w:rsidP="009628F7">
            <w:pPr>
              <w:pStyle w:val="MDPI42tablebody"/>
              <w:jc w:val="left"/>
              <w:rPr>
                <w:sz w:val="16"/>
                <w:szCs w:val="16"/>
              </w:rPr>
            </w:pPr>
            <w:r w:rsidRPr="00E54537">
              <w:rPr>
                <w:sz w:val="16"/>
                <w:szCs w:val="16"/>
              </w:rPr>
              <w:t>7.2 months</w:t>
            </w:r>
          </w:p>
        </w:tc>
        <w:tc>
          <w:tcPr>
            <w:tcW w:w="2765" w:type="pct"/>
          </w:tcPr>
          <w:p w14:paraId="5BC38ECA" w14:textId="6F272257" w:rsidR="0059496A" w:rsidRPr="00E54537" w:rsidRDefault="00C83322" w:rsidP="00C83322">
            <w:pPr>
              <w:pStyle w:val="MDPI42tablebody"/>
              <w:jc w:val="left"/>
              <w:rPr>
                <w:sz w:val="16"/>
                <w:szCs w:val="16"/>
              </w:rPr>
            </w:pPr>
            <w:r w:rsidRPr="00E54537">
              <w:rPr>
                <w:sz w:val="16"/>
                <w:szCs w:val="16"/>
              </w:rPr>
              <w:t xml:space="preserve">40% of patients required care for reasons related to COVID-19, and most went to GPs (36%). 10% of </w:t>
            </w:r>
            <w:r w:rsidR="004C4B24" w:rsidRPr="00E54537">
              <w:rPr>
                <w:sz w:val="16"/>
                <w:szCs w:val="16"/>
              </w:rPr>
              <w:t>hospitalized</w:t>
            </w:r>
            <w:r w:rsidRPr="00E54537">
              <w:rPr>
                <w:sz w:val="16"/>
                <w:szCs w:val="16"/>
              </w:rPr>
              <w:t xml:space="preserve"> patients needed </w:t>
            </w:r>
            <w:r w:rsidR="004C4B24" w:rsidRPr="00E54537">
              <w:rPr>
                <w:sz w:val="16"/>
                <w:szCs w:val="16"/>
              </w:rPr>
              <w:t>rehospitalization</w:t>
            </w:r>
            <w:r w:rsidR="00D005D7" w:rsidRPr="00E54537">
              <w:rPr>
                <w:sz w:val="16"/>
                <w:szCs w:val="16"/>
              </w:rPr>
              <w:t>.</w:t>
            </w:r>
          </w:p>
        </w:tc>
      </w:tr>
      <w:tr w:rsidR="0059496A" w:rsidRPr="00E54537" w14:paraId="1195179F" w14:textId="77777777" w:rsidTr="00C62F56">
        <w:trPr>
          <w:trHeight w:val="373"/>
          <w:jc w:val="right"/>
        </w:trPr>
        <w:tc>
          <w:tcPr>
            <w:tcW w:w="549" w:type="pct"/>
          </w:tcPr>
          <w:p w14:paraId="467A229E" w14:textId="12D87D18" w:rsidR="0059496A" w:rsidRPr="00E54537" w:rsidRDefault="005F5408" w:rsidP="009628F7">
            <w:pPr>
              <w:pStyle w:val="MDPI42tablebody"/>
              <w:jc w:val="left"/>
              <w:rPr>
                <w:sz w:val="16"/>
                <w:szCs w:val="16"/>
              </w:rPr>
            </w:pPr>
            <w:r w:rsidRPr="00E54537">
              <w:rPr>
                <w:sz w:val="16"/>
                <w:szCs w:val="16"/>
              </w:rPr>
              <w:t>Melnick 2023</w:t>
            </w:r>
          </w:p>
        </w:tc>
        <w:tc>
          <w:tcPr>
            <w:tcW w:w="1131" w:type="pct"/>
          </w:tcPr>
          <w:p w14:paraId="568EF22C" w14:textId="47F4D1B0" w:rsidR="0059496A" w:rsidRPr="00E54537" w:rsidRDefault="005F5408" w:rsidP="00EC5B81">
            <w:pPr>
              <w:pStyle w:val="MDPI42tablebody"/>
              <w:numPr>
                <w:ilvl w:val="0"/>
                <w:numId w:val="41"/>
              </w:numPr>
              <w:ind w:left="113" w:hanging="113"/>
              <w:jc w:val="left"/>
              <w:rPr>
                <w:sz w:val="16"/>
                <w:szCs w:val="16"/>
              </w:rPr>
            </w:pPr>
            <w:r w:rsidRPr="00E54537">
              <w:rPr>
                <w:sz w:val="16"/>
                <w:szCs w:val="16"/>
              </w:rPr>
              <w:t>COVID-19</w:t>
            </w:r>
          </w:p>
        </w:tc>
        <w:tc>
          <w:tcPr>
            <w:tcW w:w="555" w:type="pct"/>
          </w:tcPr>
          <w:p w14:paraId="44ED559B" w14:textId="545182EE" w:rsidR="0059496A" w:rsidRPr="00E54537" w:rsidRDefault="009E3F41" w:rsidP="009628F7">
            <w:pPr>
              <w:pStyle w:val="MDPI42tablebody"/>
              <w:jc w:val="left"/>
              <w:rPr>
                <w:sz w:val="16"/>
                <w:szCs w:val="16"/>
              </w:rPr>
            </w:pPr>
            <w:r w:rsidRPr="00E54537">
              <w:rPr>
                <w:sz w:val="16"/>
                <w:szCs w:val="16"/>
              </w:rPr>
              <w:t>12 months</w:t>
            </w:r>
          </w:p>
        </w:tc>
        <w:tc>
          <w:tcPr>
            <w:tcW w:w="2765" w:type="pct"/>
          </w:tcPr>
          <w:p w14:paraId="5FF9EA0E" w14:textId="5899F038" w:rsidR="0059496A" w:rsidRPr="00E54537" w:rsidRDefault="00664F3D" w:rsidP="00664F3D">
            <w:pPr>
              <w:pStyle w:val="MDPI42tablebody"/>
              <w:jc w:val="both"/>
              <w:rPr>
                <w:sz w:val="16"/>
                <w:szCs w:val="16"/>
              </w:rPr>
            </w:pPr>
            <w:r w:rsidRPr="00E54537">
              <w:rPr>
                <w:sz w:val="16"/>
                <w:szCs w:val="16"/>
              </w:rPr>
              <w:t xml:space="preserve">The highest number of healthcare visits was observed in the first 30 days post-COVID-19 diagnosis, with continued care still needed beyond the first month. Medicare Advantage patients consistently showed higher </w:t>
            </w:r>
            <w:r w:rsidR="004C4B24" w:rsidRPr="00E54537">
              <w:rPr>
                <w:sz w:val="16"/>
                <w:szCs w:val="16"/>
              </w:rPr>
              <w:t>utilization</w:t>
            </w:r>
            <w:r w:rsidRPr="00E54537">
              <w:rPr>
                <w:sz w:val="16"/>
                <w:szCs w:val="16"/>
              </w:rPr>
              <w:t xml:space="preserve"> than commercially insured adults, resulting in an estimated 1.2 million healthcare visits over 360 days in the total population of 2 million patients.</w:t>
            </w:r>
          </w:p>
        </w:tc>
      </w:tr>
      <w:tr w:rsidR="00DF66CC" w:rsidRPr="00E54537" w14:paraId="4B722EB9" w14:textId="77777777" w:rsidTr="00C62F56">
        <w:trPr>
          <w:trHeight w:val="373"/>
          <w:jc w:val="right"/>
        </w:trPr>
        <w:tc>
          <w:tcPr>
            <w:tcW w:w="549" w:type="pct"/>
          </w:tcPr>
          <w:p w14:paraId="6C589573" w14:textId="77777777" w:rsidR="00DF66CC" w:rsidRPr="00E54537" w:rsidRDefault="00DF66CC" w:rsidP="009628F7">
            <w:pPr>
              <w:pStyle w:val="MDPI42tablebody"/>
              <w:jc w:val="left"/>
              <w:rPr>
                <w:sz w:val="16"/>
                <w:szCs w:val="16"/>
              </w:rPr>
            </w:pPr>
            <w:r w:rsidRPr="00E54537">
              <w:rPr>
                <w:sz w:val="16"/>
                <w:szCs w:val="16"/>
              </w:rPr>
              <w:t>Koumpias 2022</w:t>
            </w:r>
          </w:p>
        </w:tc>
        <w:tc>
          <w:tcPr>
            <w:tcW w:w="1131" w:type="pct"/>
          </w:tcPr>
          <w:p w14:paraId="1D6A4574" w14:textId="77777777" w:rsidR="00DF66CC" w:rsidRPr="00E54537" w:rsidRDefault="00DF66CC" w:rsidP="009628F7">
            <w:pPr>
              <w:pStyle w:val="MDPI42tablebody"/>
              <w:numPr>
                <w:ilvl w:val="0"/>
                <w:numId w:val="41"/>
              </w:numPr>
              <w:ind w:left="113" w:hanging="113"/>
              <w:jc w:val="left"/>
              <w:rPr>
                <w:sz w:val="16"/>
                <w:szCs w:val="16"/>
              </w:rPr>
            </w:pPr>
            <w:r w:rsidRPr="00E54537">
              <w:rPr>
                <w:sz w:val="16"/>
                <w:szCs w:val="16"/>
              </w:rPr>
              <w:t>Self-controlled study: pre and post COVID-19 diagnosis</w:t>
            </w:r>
          </w:p>
        </w:tc>
        <w:tc>
          <w:tcPr>
            <w:tcW w:w="555" w:type="pct"/>
          </w:tcPr>
          <w:p w14:paraId="10F7438B" w14:textId="77777777" w:rsidR="00DF66CC" w:rsidRPr="00E54537" w:rsidRDefault="00DF66CC" w:rsidP="009628F7">
            <w:pPr>
              <w:pStyle w:val="MDPI42tablebody"/>
              <w:jc w:val="left"/>
              <w:rPr>
                <w:sz w:val="16"/>
                <w:szCs w:val="16"/>
              </w:rPr>
            </w:pPr>
            <w:r w:rsidRPr="00E54537">
              <w:rPr>
                <w:sz w:val="16"/>
                <w:szCs w:val="16"/>
              </w:rPr>
              <w:t>6 months before and after COVID-19 diagnosis</w:t>
            </w:r>
          </w:p>
        </w:tc>
        <w:tc>
          <w:tcPr>
            <w:tcW w:w="2765" w:type="pct"/>
          </w:tcPr>
          <w:p w14:paraId="78E6DB26" w14:textId="77777777" w:rsidR="00DF66CC" w:rsidRPr="00E54537" w:rsidRDefault="00DF66CC" w:rsidP="009628F7">
            <w:pPr>
              <w:pStyle w:val="MDPI42tablebody"/>
              <w:jc w:val="left"/>
              <w:rPr>
                <w:sz w:val="16"/>
                <w:szCs w:val="16"/>
              </w:rPr>
            </w:pPr>
            <w:r w:rsidRPr="00E54537">
              <w:rPr>
                <w:sz w:val="16"/>
                <w:szCs w:val="16"/>
              </w:rPr>
              <w:t xml:space="preserve">A COVID-19 diagnosis correlated with a 153% increase in the average number of healthcare visits per month over the 6 months following diagnosis compared to a 6-month period before COVID-19 diagnosis (mean 1.21 vs. 0.48 number of services). </w:t>
            </w:r>
          </w:p>
        </w:tc>
      </w:tr>
      <w:tr w:rsidR="00DF66CC" w:rsidRPr="00E54537" w14:paraId="30F181D6" w14:textId="77777777" w:rsidTr="00C62F56">
        <w:trPr>
          <w:trHeight w:val="373"/>
          <w:jc w:val="right"/>
        </w:trPr>
        <w:tc>
          <w:tcPr>
            <w:tcW w:w="549" w:type="pct"/>
          </w:tcPr>
          <w:p w14:paraId="76775B07" w14:textId="77777777" w:rsidR="00DF66CC" w:rsidRPr="00E54537" w:rsidRDefault="00DF66CC" w:rsidP="009628F7">
            <w:pPr>
              <w:pStyle w:val="MDPI42tablebody"/>
              <w:jc w:val="left"/>
              <w:rPr>
                <w:sz w:val="16"/>
                <w:szCs w:val="16"/>
              </w:rPr>
            </w:pPr>
            <w:r w:rsidRPr="00E54537">
              <w:rPr>
                <w:sz w:val="16"/>
                <w:szCs w:val="16"/>
              </w:rPr>
              <w:t>Abdullah 2023</w:t>
            </w:r>
          </w:p>
        </w:tc>
        <w:tc>
          <w:tcPr>
            <w:tcW w:w="1131" w:type="pct"/>
          </w:tcPr>
          <w:p w14:paraId="5BEC03FE" w14:textId="77777777" w:rsidR="00DF66CC" w:rsidRPr="00E54537" w:rsidRDefault="00DF66CC" w:rsidP="009628F7">
            <w:pPr>
              <w:pStyle w:val="MDPI42tablebody"/>
              <w:numPr>
                <w:ilvl w:val="0"/>
                <w:numId w:val="41"/>
              </w:numPr>
              <w:ind w:left="113" w:hanging="113"/>
              <w:jc w:val="left"/>
              <w:rPr>
                <w:sz w:val="16"/>
                <w:szCs w:val="16"/>
              </w:rPr>
            </w:pPr>
            <w:r w:rsidRPr="00E54537">
              <w:rPr>
                <w:sz w:val="16"/>
                <w:szCs w:val="16"/>
              </w:rPr>
              <w:t>Self-controlled study: pre and post COVID-19 diagnosis</w:t>
            </w:r>
          </w:p>
        </w:tc>
        <w:tc>
          <w:tcPr>
            <w:tcW w:w="555" w:type="pct"/>
          </w:tcPr>
          <w:p w14:paraId="08620935" w14:textId="77777777" w:rsidR="00DF66CC" w:rsidRPr="00E54537" w:rsidRDefault="00DF66CC" w:rsidP="009628F7">
            <w:pPr>
              <w:pStyle w:val="MDPI42tablebody"/>
              <w:jc w:val="left"/>
              <w:rPr>
                <w:sz w:val="16"/>
                <w:szCs w:val="16"/>
              </w:rPr>
            </w:pPr>
            <w:r w:rsidRPr="00E54537">
              <w:rPr>
                <w:sz w:val="16"/>
                <w:szCs w:val="16"/>
              </w:rPr>
              <w:t>12 months before and after COVID-19 diagnosis</w:t>
            </w:r>
          </w:p>
        </w:tc>
        <w:tc>
          <w:tcPr>
            <w:tcW w:w="2765" w:type="pct"/>
          </w:tcPr>
          <w:p w14:paraId="3407F93E" w14:textId="77777777" w:rsidR="00DF66CC" w:rsidRPr="00E54537" w:rsidRDefault="00DF66CC" w:rsidP="009628F7">
            <w:pPr>
              <w:pStyle w:val="MDPI42tablebody"/>
              <w:jc w:val="left"/>
              <w:rPr>
                <w:sz w:val="16"/>
                <w:szCs w:val="16"/>
              </w:rPr>
            </w:pPr>
            <w:r w:rsidRPr="00E54537">
              <w:rPr>
                <w:sz w:val="16"/>
                <w:szCs w:val="16"/>
              </w:rPr>
              <w:t>A notable increase (+53%) in overall healthcare visits was observed during the 12 months following COVID-19 recovery compared to the preceding 12-month period (mean 5.0 vs 3.2 visits; p&lt;0.001).</w:t>
            </w:r>
          </w:p>
        </w:tc>
      </w:tr>
      <w:tr w:rsidR="00707D60" w:rsidRPr="00E54537" w14:paraId="6452F5C6" w14:textId="77777777" w:rsidTr="00C62F56">
        <w:trPr>
          <w:trHeight w:val="373"/>
          <w:jc w:val="right"/>
        </w:trPr>
        <w:tc>
          <w:tcPr>
            <w:tcW w:w="549" w:type="pct"/>
          </w:tcPr>
          <w:p w14:paraId="41FCA5F1" w14:textId="4170B278" w:rsidR="00707D60" w:rsidRPr="00E54537" w:rsidRDefault="00DD50D0" w:rsidP="009628F7">
            <w:pPr>
              <w:pStyle w:val="MDPI42tablebody"/>
              <w:jc w:val="left"/>
              <w:rPr>
                <w:sz w:val="16"/>
                <w:szCs w:val="16"/>
              </w:rPr>
            </w:pPr>
            <w:r w:rsidRPr="00E54537">
              <w:rPr>
                <w:sz w:val="16"/>
                <w:szCs w:val="16"/>
              </w:rPr>
              <w:t>Tartof</w:t>
            </w:r>
            <w:r w:rsidR="00AE60EF" w:rsidRPr="00E54537">
              <w:rPr>
                <w:sz w:val="16"/>
                <w:szCs w:val="16"/>
              </w:rPr>
              <w:t xml:space="preserve"> 2022</w:t>
            </w:r>
          </w:p>
        </w:tc>
        <w:tc>
          <w:tcPr>
            <w:tcW w:w="1131" w:type="pct"/>
          </w:tcPr>
          <w:p w14:paraId="1FE257FB" w14:textId="77777777" w:rsidR="00707D60" w:rsidRPr="00E54537" w:rsidRDefault="00F45928" w:rsidP="00EC5B81">
            <w:pPr>
              <w:pStyle w:val="MDPI42tablebody"/>
              <w:numPr>
                <w:ilvl w:val="0"/>
                <w:numId w:val="41"/>
              </w:numPr>
              <w:ind w:left="113" w:hanging="113"/>
              <w:jc w:val="left"/>
              <w:rPr>
                <w:sz w:val="16"/>
                <w:szCs w:val="16"/>
              </w:rPr>
            </w:pPr>
            <w:r w:rsidRPr="00E54537">
              <w:rPr>
                <w:sz w:val="16"/>
                <w:szCs w:val="16"/>
              </w:rPr>
              <w:t>Positive SARS-CoV-2 tests results</w:t>
            </w:r>
          </w:p>
          <w:p w14:paraId="1476EE63" w14:textId="36FF71CE" w:rsidR="00F45928" w:rsidRPr="00E54537" w:rsidRDefault="00F45928" w:rsidP="00EC5B81">
            <w:pPr>
              <w:pStyle w:val="MDPI42tablebody"/>
              <w:numPr>
                <w:ilvl w:val="0"/>
                <w:numId w:val="41"/>
              </w:numPr>
              <w:ind w:left="113" w:hanging="113"/>
              <w:jc w:val="left"/>
              <w:rPr>
                <w:sz w:val="16"/>
                <w:szCs w:val="16"/>
              </w:rPr>
            </w:pPr>
            <w:r w:rsidRPr="00E54537">
              <w:rPr>
                <w:sz w:val="16"/>
                <w:szCs w:val="16"/>
              </w:rPr>
              <w:t xml:space="preserve">Negative </w:t>
            </w:r>
            <w:r w:rsidR="002E3539" w:rsidRPr="00E54537">
              <w:rPr>
                <w:sz w:val="16"/>
                <w:szCs w:val="16"/>
              </w:rPr>
              <w:t>SARS-CoV-2 test results</w:t>
            </w:r>
          </w:p>
        </w:tc>
        <w:tc>
          <w:tcPr>
            <w:tcW w:w="555" w:type="pct"/>
          </w:tcPr>
          <w:p w14:paraId="31A40BA8" w14:textId="6A1DB8BA" w:rsidR="00707D60" w:rsidRPr="00E54537" w:rsidRDefault="002E3539" w:rsidP="009628F7">
            <w:pPr>
              <w:pStyle w:val="MDPI42tablebody"/>
              <w:jc w:val="left"/>
              <w:rPr>
                <w:sz w:val="16"/>
                <w:szCs w:val="16"/>
              </w:rPr>
            </w:pPr>
            <w:r w:rsidRPr="00E54537">
              <w:rPr>
                <w:sz w:val="16"/>
                <w:szCs w:val="16"/>
              </w:rPr>
              <w:t>6 months</w:t>
            </w:r>
          </w:p>
        </w:tc>
        <w:tc>
          <w:tcPr>
            <w:tcW w:w="2765" w:type="pct"/>
          </w:tcPr>
          <w:p w14:paraId="7D5FEEA4" w14:textId="716917DE" w:rsidR="00707D60" w:rsidRPr="00E54537" w:rsidRDefault="009A6C49" w:rsidP="009628F7">
            <w:pPr>
              <w:pStyle w:val="MDPI42tablebody"/>
              <w:jc w:val="left"/>
              <w:rPr>
                <w:sz w:val="16"/>
                <w:szCs w:val="16"/>
              </w:rPr>
            </w:pPr>
            <w:r w:rsidRPr="00E54537">
              <w:rPr>
                <w:sz w:val="16"/>
                <w:szCs w:val="16"/>
              </w:rPr>
              <w:t xml:space="preserve">Difference-in-difference analyses demonstrated an overall increase of 4% in healthcare </w:t>
            </w:r>
            <w:r w:rsidR="004C4B24" w:rsidRPr="00E54537">
              <w:rPr>
                <w:sz w:val="16"/>
                <w:szCs w:val="16"/>
              </w:rPr>
              <w:t>utilization</w:t>
            </w:r>
            <w:r w:rsidRPr="00E54537">
              <w:rPr>
                <w:sz w:val="16"/>
                <w:szCs w:val="16"/>
              </w:rPr>
              <w:t xml:space="preserve"> over 6 months among patients with positive test results for SARS-CoV-2 vs. negative results (RRR=1.04</w:t>
            </w:r>
            <w:r w:rsidR="009D4462" w:rsidRPr="00E54537">
              <w:rPr>
                <w:sz w:val="16"/>
                <w:szCs w:val="16"/>
              </w:rPr>
              <w:t>, 95% CI: 1.03-1.05)</w:t>
            </w:r>
            <w:r w:rsidRPr="00E54537">
              <w:rPr>
                <w:sz w:val="16"/>
                <w:szCs w:val="16"/>
              </w:rPr>
              <w:t xml:space="preserve">. By setting, COVID-19-associated increases in healthcare </w:t>
            </w:r>
            <w:r w:rsidR="004C4B24" w:rsidRPr="00E54537">
              <w:rPr>
                <w:sz w:val="16"/>
                <w:szCs w:val="16"/>
              </w:rPr>
              <w:t>utilization</w:t>
            </w:r>
            <w:r w:rsidRPr="00E54537">
              <w:rPr>
                <w:sz w:val="16"/>
                <w:szCs w:val="16"/>
              </w:rPr>
              <w:t xml:space="preserve"> were highest for virtual encounters</w:t>
            </w:r>
            <w:r w:rsidR="00E26457" w:rsidRPr="00E54537">
              <w:rPr>
                <w:sz w:val="16"/>
                <w:szCs w:val="16"/>
              </w:rPr>
              <w:t xml:space="preserve"> (RRR=1.14, 95% CI: </w:t>
            </w:r>
            <w:r w:rsidR="001900C2" w:rsidRPr="00E54537">
              <w:rPr>
                <w:sz w:val="16"/>
                <w:szCs w:val="16"/>
              </w:rPr>
              <w:t>1.12-1.16)</w:t>
            </w:r>
            <w:r w:rsidRPr="00E54537">
              <w:rPr>
                <w:sz w:val="16"/>
                <w:szCs w:val="16"/>
              </w:rPr>
              <w:t>, followed by ED encounters</w:t>
            </w:r>
            <w:r w:rsidR="001900C2" w:rsidRPr="00E54537">
              <w:rPr>
                <w:sz w:val="16"/>
                <w:szCs w:val="16"/>
              </w:rPr>
              <w:t xml:space="preserve"> (RRR=1.08, 95% CI</w:t>
            </w:r>
            <w:r w:rsidR="00AB3BC5" w:rsidRPr="00E54537">
              <w:rPr>
                <w:sz w:val="16"/>
                <w:szCs w:val="16"/>
              </w:rPr>
              <w:t>: 1.04-1.12)</w:t>
            </w:r>
            <w:r w:rsidRPr="00E54537">
              <w:rPr>
                <w:sz w:val="16"/>
                <w:szCs w:val="16"/>
              </w:rPr>
              <w:t>; outpatient encounters declined slightly</w:t>
            </w:r>
            <w:r w:rsidR="00AB3BC5" w:rsidRPr="00E54537">
              <w:rPr>
                <w:sz w:val="16"/>
                <w:szCs w:val="16"/>
              </w:rPr>
              <w:t xml:space="preserve"> (RRR=0.98, 95% CI:</w:t>
            </w:r>
            <w:r w:rsidR="00693D76" w:rsidRPr="00E54537">
              <w:rPr>
                <w:sz w:val="16"/>
                <w:szCs w:val="16"/>
              </w:rPr>
              <w:t xml:space="preserve"> 0.96-0.99)</w:t>
            </w:r>
            <w:r w:rsidRPr="00E54537">
              <w:rPr>
                <w:sz w:val="16"/>
                <w:szCs w:val="16"/>
              </w:rPr>
              <w:t>. An additional 27,217 healthcare visits were attributed to COVID-19 over 6 months (212.9</w:t>
            </w:r>
            <w:r w:rsidR="00693D76" w:rsidRPr="00E54537">
              <w:rPr>
                <w:sz w:val="16"/>
                <w:szCs w:val="16"/>
              </w:rPr>
              <w:t>,</w:t>
            </w:r>
            <w:r w:rsidRPr="00E54537">
              <w:rPr>
                <w:sz w:val="16"/>
                <w:szCs w:val="16"/>
              </w:rPr>
              <w:t xml:space="preserve"> 95%CI</w:t>
            </w:r>
            <w:r w:rsidR="00693D76" w:rsidRPr="00E54537">
              <w:rPr>
                <w:sz w:val="16"/>
                <w:szCs w:val="16"/>
              </w:rPr>
              <w:t>:</w:t>
            </w:r>
            <w:r w:rsidRPr="00E54537">
              <w:rPr>
                <w:sz w:val="16"/>
                <w:szCs w:val="16"/>
              </w:rPr>
              <w:t xml:space="preserve"> 146.5-278.4 visits per 1000 patients).</w:t>
            </w:r>
          </w:p>
        </w:tc>
      </w:tr>
      <w:tr w:rsidR="00707D60" w:rsidRPr="00E54537" w14:paraId="392D513B" w14:textId="77777777" w:rsidTr="00C62F56">
        <w:trPr>
          <w:trHeight w:val="373"/>
          <w:jc w:val="right"/>
        </w:trPr>
        <w:tc>
          <w:tcPr>
            <w:tcW w:w="549" w:type="pct"/>
          </w:tcPr>
          <w:p w14:paraId="0625138A" w14:textId="23BA0264" w:rsidR="00707D60" w:rsidRPr="00E54537" w:rsidRDefault="00AE60EF" w:rsidP="009628F7">
            <w:pPr>
              <w:pStyle w:val="MDPI42tablebody"/>
              <w:jc w:val="left"/>
              <w:rPr>
                <w:sz w:val="16"/>
                <w:szCs w:val="16"/>
              </w:rPr>
            </w:pPr>
            <w:r w:rsidRPr="00E54537">
              <w:rPr>
                <w:sz w:val="16"/>
                <w:szCs w:val="16"/>
              </w:rPr>
              <w:t>McNaughton 2022</w:t>
            </w:r>
          </w:p>
        </w:tc>
        <w:tc>
          <w:tcPr>
            <w:tcW w:w="1131" w:type="pct"/>
          </w:tcPr>
          <w:p w14:paraId="06280846" w14:textId="77777777" w:rsidR="009A226D" w:rsidRPr="00E54537" w:rsidRDefault="009A226D" w:rsidP="009A226D">
            <w:pPr>
              <w:pStyle w:val="MDPI42tablebody"/>
              <w:numPr>
                <w:ilvl w:val="0"/>
                <w:numId w:val="41"/>
              </w:numPr>
              <w:ind w:left="113" w:hanging="113"/>
              <w:jc w:val="left"/>
              <w:rPr>
                <w:sz w:val="16"/>
                <w:szCs w:val="16"/>
              </w:rPr>
            </w:pPr>
            <w:r w:rsidRPr="00E54537">
              <w:rPr>
                <w:sz w:val="16"/>
                <w:szCs w:val="16"/>
              </w:rPr>
              <w:t>Positive SARS-CoV-2 tests results</w:t>
            </w:r>
          </w:p>
          <w:p w14:paraId="576B5858" w14:textId="48D210F6" w:rsidR="00707D60" w:rsidRPr="00E54537" w:rsidRDefault="009A226D" w:rsidP="009A226D">
            <w:pPr>
              <w:pStyle w:val="MDPI42tablebody"/>
              <w:numPr>
                <w:ilvl w:val="0"/>
                <w:numId w:val="41"/>
              </w:numPr>
              <w:ind w:left="113" w:hanging="113"/>
              <w:jc w:val="left"/>
              <w:rPr>
                <w:sz w:val="16"/>
                <w:szCs w:val="16"/>
              </w:rPr>
            </w:pPr>
            <w:r w:rsidRPr="00E54537">
              <w:rPr>
                <w:sz w:val="16"/>
                <w:szCs w:val="16"/>
              </w:rPr>
              <w:t>Negative SARS-CoV-2 test results</w:t>
            </w:r>
          </w:p>
        </w:tc>
        <w:tc>
          <w:tcPr>
            <w:tcW w:w="555" w:type="pct"/>
          </w:tcPr>
          <w:p w14:paraId="4C28FF2F" w14:textId="18907778" w:rsidR="00707D60" w:rsidRPr="00E54537" w:rsidRDefault="00B11CDA" w:rsidP="009628F7">
            <w:pPr>
              <w:pStyle w:val="MDPI42tablebody"/>
              <w:jc w:val="left"/>
              <w:rPr>
                <w:sz w:val="16"/>
                <w:szCs w:val="16"/>
              </w:rPr>
            </w:pPr>
            <w:r w:rsidRPr="00E54537">
              <w:rPr>
                <w:sz w:val="16"/>
                <w:szCs w:val="16"/>
              </w:rPr>
              <w:t>Mean 240 days</w:t>
            </w:r>
          </w:p>
        </w:tc>
        <w:tc>
          <w:tcPr>
            <w:tcW w:w="2765" w:type="pct"/>
          </w:tcPr>
          <w:p w14:paraId="5BD29865" w14:textId="1525AC78" w:rsidR="00707D60" w:rsidRPr="00E54537" w:rsidRDefault="00AD2A62" w:rsidP="009628F7">
            <w:pPr>
              <w:pStyle w:val="MDPI42tablebody"/>
              <w:jc w:val="left"/>
              <w:rPr>
                <w:sz w:val="16"/>
                <w:szCs w:val="16"/>
              </w:rPr>
            </w:pPr>
            <w:r w:rsidRPr="00E54537">
              <w:rPr>
                <w:sz w:val="16"/>
                <w:szCs w:val="16"/>
              </w:rPr>
              <w:t xml:space="preserve">During the mean 240 days of follow-up, patients with SARS-CoV-2 infection had 64.48 additional healthcare encounters at the 99th percentile of the per-person-year rate compared with patients with negative SARS-CoV-2 test results. Rate ratios for the test-positive vs. test-negative comparison were statistically significant </w:t>
            </w:r>
            <w:r w:rsidR="009A226D" w:rsidRPr="00E54537">
              <w:rPr>
                <w:sz w:val="16"/>
                <w:szCs w:val="16"/>
              </w:rPr>
              <w:t xml:space="preserve">(rate ratio </w:t>
            </w:r>
            <w:r w:rsidR="003F08D9" w:rsidRPr="00E54537">
              <w:rPr>
                <w:sz w:val="16"/>
                <w:szCs w:val="16"/>
              </w:rPr>
              <w:t>1.10, 95%CI: 1.08-1.2</w:t>
            </w:r>
            <w:r w:rsidR="009A226D" w:rsidRPr="00E54537">
              <w:rPr>
                <w:sz w:val="16"/>
                <w:szCs w:val="16"/>
              </w:rPr>
              <w:t xml:space="preserve">). </w:t>
            </w:r>
          </w:p>
        </w:tc>
      </w:tr>
      <w:tr w:rsidR="00C833C0" w:rsidRPr="00E54537" w14:paraId="74B1D484" w14:textId="77777777" w:rsidTr="00707D60">
        <w:trPr>
          <w:trHeight w:val="373"/>
          <w:jc w:val="right"/>
        </w:trPr>
        <w:tc>
          <w:tcPr>
            <w:tcW w:w="5000" w:type="pct"/>
            <w:gridSpan w:val="4"/>
            <w:shd w:val="clear" w:color="auto" w:fill="D9D9D9" w:themeFill="background1" w:themeFillShade="D9"/>
          </w:tcPr>
          <w:p w14:paraId="3665A684" w14:textId="77777777" w:rsidR="00C833C0" w:rsidRPr="00E54537" w:rsidRDefault="00C833C0" w:rsidP="009628F7">
            <w:pPr>
              <w:pStyle w:val="MDPI42tablebody"/>
              <w:jc w:val="left"/>
              <w:rPr>
                <w:b/>
                <w:bCs/>
                <w:sz w:val="16"/>
                <w:szCs w:val="16"/>
              </w:rPr>
            </w:pPr>
            <w:r w:rsidRPr="00E54537">
              <w:rPr>
                <w:b/>
                <w:bCs/>
                <w:sz w:val="16"/>
                <w:szCs w:val="16"/>
              </w:rPr>
              <w:t>Inpatient Services</w:t>
            </w:r>
          </w:p>
        </w:tc>
      </w:tr>
      <w:tr w:rsidR="00707D60" w:rsidRPr="00E54537" w14:paraId="3E42F45F" w14:textId="77777777" w:rsidTr="00707D60">
        <w:trPr>
          <w:trHeight w:val="373"/>
          <w:jc w:val="right"/>
        </w:trPr>
        <w:tc>
          <w:tcPr>
            <w:tcW w:w="5000" w:type="pct"/>
            <w:gridSpan w:val="4"/>
          </w:tcPr>
          <w:p w14:paraId="6EC6088D" w14:textId="751291D1" w:rsidR="00707D60" w:rsidRPr="00E54537" w:rsidRDefault="00707D60" w:rsidP="009628F7">
            <w:pPr>
              <w:pStyle w:val="MDPI42tablebody"/>
              <w:jc w:val="left"/>
              <w:rPr>
                <w:b/>
                <w:bCs/>
                <w:sz w:val="16"/>
                <w:szCs w:val="16"/>
              </w:rPr>
            </w:pPr>
            <w:r w:rsidRPr="00E54537">
              <w:rPr>
                <w:b/>
                <w:bCs/>
                <w:sz w:val="16"/>
                <w:szCs w:val="16"/>
              </w:rPr>
              <w:t>Long COVID</w:t>
            </w:r>
          </w:p>
        </w:tc>
      </w:tr>
      <w:tr w:rsidR="00C833C0" w:rsidRPr="00E54537" w14:paraId="2E5B8667" w14:textId="77777777" w:rsidTr="00C62F56">
        <w:trPr>
          <w:trHeight w:val="373"/>
          <w:jc w:val="right"/>
        </w:trPr>
        <w:tc>
          <w:tcPr>
            <w:tcW w:w="549" w:type="pct"/>
          </w:tcPr>
          <w:p w14:paraId="6532BF7E" w14:textId="77777777" w:rsidR="00C833C0" w:rsidRPr="00E54537" w:rsidRDefault="00C833C0" w:rsidP="009628F7">
            <w:pPr>
              <w:pStyle w:val="MDPI42tablebody"/>
              <w:jc w:val="left"/>
              <w:rPr>
                <w:sz w:val="16"/>
                <w:szCs w:val="16"/>
              </w:rPr>
            </w:pPr>
            <w:r w:rsidRPr="00E54537">
              <w:rPr>
                <w:sz w:val="16"/>
                <w:szCs w:val="16"/>
              </w:rPr>
              <w:t>Walter 2022</w:t>
            </w:r>
          </w:p>
        </w:tc>
        <w:tc>
          <w:tcPr>
            <w:tcW w:w="1131" w:type="pct"/>
          </w:tcPr>
          <w:p w14:paraId="66E92235"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COVID</w:t>
            </w:r>
          </w:p>
        </w:tc>
        <w:tc>
          <w:tcPr>
            <w:tcW w:w="555" w:type="pct"/>
          </w:tcPr>
          <w:p w14:paraId="18D23881" w14:textId="77777777" w:rsidR="00C833C0" w:rsidRPr="00E54537" w:rsidRDefault="00C833C0" w:rsidP="009628F7">
            <w:pPr>
              <w:pStyle w:val="MDPI42tablebody"/>
              <w:jc w:val="left"/>
              <w:rPr>
                <w:sz w:val="16"/>
                <w:szCs w:val="16"/>
              </w:rPr>
            </w:pPr>
            <w:r w:rsidRPr="00E54537">
              <w:rPr>
                <w:sz w:val="16"/>
                <w:szCs w:val="16"/>
              </w:rPr>
              <w:t>NA</w:t>
            </w:r>
          </w:p>
        </w:tc>
        <w:tc>
          <w:tcPr>
            <w:tcW w:w="2765" w:type="pct"/>
          </w:tcPr>
          <w:p w14:paraId="53CE59E5" w14:textId="0560E599" w:rsidR="00C833C0" w:rsidRPr="00E54537" w:rsidRDefault="00C833C0" w:rsidP="009628F7">
            <w:pPr>
              <w:pStyle w:val="MDPI42tablebody"/>
              <w:jc w:val="left"/>
              <w:rPr>
                <w:sz w:val="16"/>
                <w:szCs w:val="16"/>
              </w:rPr>
            </w:pPr>
            <w:r w:rsidRPr="00E54537">
              <w:rPr>
                <w:sz w:val="16"/>
                <w:szCs w:val="16"/>
              </w:rPr>
              <w:t xml:space="preserve">Among German patients </w:t>
            </w:r>
            <w:r w:rsidR="004C4B24" w:rsidRPr="00E54537">
              <w:rPr>
                <w:sz w:val="16"/>
                <w:szCs w:val="16"/>
              </w:rPr>
              <w:t>hospitalized</w:t>
            </w:r>
            <w:r w:rsidRPr="00E54537">
              <w:rPr>
                <w:sz w:val="16"/>
                <w:szCs w:val="16"/>
              </w:rPr>
              <w:t xml:space="preserve"> with a long COVID diagnosis, as many as 17.2% required ICU treatment.</w:t>
            </w:r>
          </w:p>
        </w:tc>
      </w:tr>
      <w:tr w:rsidR="00C833C0" w:rsidRPr="00E54537" w14:paraId="4CD4D628" w14:textId="77777777" w:rsidTr="00C62F56">
        <w:trPr>
          <w:trHeight w:val="373"/>
          <w:jc w:val="right"/>
        </w:trPr>
        <w:tc>
          <w:tcPr>
            <w:tcW w:w="549" w:type="pct"/>
          </w:tcPr>
          <w:p w14:paraId="083FD997" w14:textId="77777777" w:rsidR="00C833C0" w:rsidRPr="00E54537" w:rsidRDefault="00C833C0" w:rsidP="009628F7">
            <w:pPr>
              <w:pStyle w:val="MDPI42tablebody"/>
              <w:jc w:val="left"/>
              <w:rPr>
                <w:sz w:val="16"/>
                <w:szCs w:val="16"/>
              </w:rPr>
            </w:pPr>
            <w:r w:rsidRPr="00E54537">
              <w:rPr>
                <w:sz w:val="16"/>
                <w:szCs w:val="16"/>
              </w:rPr>
              <w:t>Hedberg 2022</w:t>
            </w:r>
          </w:p>
        </w:tc>
        <w:tc>
          <w:tcPr>
            <w:tcW w:w="1131" w:type="pct"/>
          </w:tcPr>
          <w:p w14:paraId="148B23DD"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COVID;</w:t>
            </w:r>
          </w:p>
          <w:p w14:paraId="38EB9CFE"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No long COVID</w:t>
            </w:r>
          </w:p>
        </w:tc>
        <w:tc>
          <w:tcPr>
            <w:tcW w:w="555" w:type="pct"/>
          </w:tcPr>
          <w:p w14:paraId="41F28F98" w14:textId="77777777" w:rsidR="00C833C0" w:rsidRPr="00E54537" w:rsidRDefault="00C833C0" w:rsidP="009628F7">
            <w:pPr>
              <w:pStyle w:val="MDPI42tablebody"/>
              <w:jc w:val="left"/>
              <w:rPr>
                <w:sz w:val="16"/>
                <w:szCs w:val="16"/>
              </w:rPr>
            </w:pPr>
            <w:r w:rsidRPr="00E54537">
              <w:rPr>
                <w:sz w:val="16"/>
                <w:szCs w:val="16"/>
              </w:rPr>
              <w:t>4-12 months after COVID-19 diagnosis</w:t>
            </w:r>
          </w:p>
        </w:tc>
        <w:tc>
          <w:tcPr>
            <w:tcW w:w="2765" w:type="pct"/>
          </w:tcPr>
          <w:p w14:paraId="117B9376" w14:textId="21FCD83E" w:rsidR="00C833C0" w:rsidRPr="00E54537" w:rsidRDefault="00C833C0" w:rsidP="009628F7">
            <w:pPr>
              <w:pStyle w:val="MDPI42tablebody"/>
              <w:jc w:val="left"/>
              <w:rPr>
                <w:sz w:val="16"/>
                <w:szCs w:val="16"/>
              </w:rPr>
            </w:pPr>
            <w:r w:rsidRPr="00E54537">
              <w:rPr>
                <w:sz w:val="16"/>
                <w:szCs w:val="16"/>
              </w:rPr>
              <w:t>For inpatient care, no clear trend was observed after (vs. before) the acute infection in the three severity groups (non-</w:t>
            </w:r>
            <w:r w:rsidR="004C4B24" w:rsidRPr="00E54537">
              <w:rPr>
                <w:sz w:val="16"/>
                <w:szCs w:val="16"/>
              </w:rPr>
              <w:t>hospitalized</w:t>
            </w:r>
            <w:r w:rsidRPr="00E54537">
              <w:rPr>
                <w:sz w:val="16"/>
                <w:szCs w:val="16"/>
              </w:rPr>
              <w:t xml:space="preserve">, </w:t>
            </w:r>
            <w:r w:rsidR="004C4B24" w:rsidRPr="00E54537">
              <w:rPr>
                <w:sz w:val="16"/>
                <w:szCs w:val="16"/>
              </w:rPr>
              <w:t>hospitalized</w:t>
            </w:r>
            <w:r w:rsidRPr="00E54537">
              <w:rPr>
                <w:sz w:val="16"/>
                <w:szCs w:val="16"/>
              </w:rPr>
              <w:t>, and ICU-treated). There were no statistically significant differences between groups assessed by difference-in-difference analysis.</w:t>
            </w:r>
          </w:p>
        </w:tc>
      </w:tr>
      <w:tr w:rsidR="00C833C0" w:rsidRPr="00E54537" w14:paraId="4176E125" w14:textId="77777777" w:rsidTr="00C62F56">
        <w:trPr>
          <w:trHeight w:val="373"/>
          <w:jc w:val="right"/>
        </w:trPr>
        <w:tc>
          <w:tcPr>
            <w:tcW w:w="549" w:type="pct"/>
          </w:tcPr>
          <w:p w14:paraId="1C289087" w14:textId="77777777" w:rsidR="00C833C0" w:rsidRPr="00E54537" w:rsidRDefault="00C833C0" w:rsidP="009628F7">
            <w:pPr>
              <w:pStyle w:val="MDPI42tablebody"/>
              <w:jc w:val="left"/>
              <w:rPr>
                <w:sz w:val="16"/>
                <w:szCs w:val="16"/>
              </w:rPr>
            </w:pPr>
            <w:r w:rsidRPr="00E54537">
              <w:rPr>
                <w:sz w:val="16"/>
                <w:szCs w:val="16"/>
              </w:rPr>
              <w:t>Mu 2023</w:t>
            </w:r>
          </w:p>
        </w:tc>
        <w:tc>
          <w:tcPr>
            <w:tcW w:w="1131" w:type="pct"/>
          </w:tcPr>
          <w:p w14:paraId="5B3D5645"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COVID;</w:t>
            </w:r>
          </w:p>
          <w:p w14:paraId="5B237CFE"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 xml:space="preserve">Pre-pandemic (self-controlled); </w:t>
            </w:r>
          </w:p>
          <w:p w14:paraId="7B7EF3A3"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COVID only, no long COVID;</w:t>
            </w:r>
          </w:p>
          <w:p w14:paraId="5055AC79"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 xml:space="preserve">Unaffected by pandemic (before Dec 21, 2019; </w:t>
            </w:r>
          </w:p>
          <w:p w14:paraId="01C68C55"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Contemporary non-COVID</w:t>
            </w:r>
          </w:p>
        </w:tc>
        <w:tc>
          <w:tcPr>
            <w:tcW w:w="555" w:type="pct"/>
          </w:tcPr>
          <w:p w14:paraId="39023B59" w14:textId="77777777" w:rsidR="00C833C0" w:rsidRPr="00E54537" w:rsidRDefault="00C833C0" w:rsidP="009628F7">
            <w:pPr>
              <w:pStyle w:val="MDPI42tablebody"/>
              <w:jc w:val="left"/>
              <w:rPr>
                <w:sz w:val="16"/>
                <w:szCs w:val="16"/>
              </w:rPr>
            </w:pPr>
            <w:r w:rsidRPr="00E54537">
              <w:rPr>
                <w:sz w:val="16"/>
                <w:szCs w:val="16"/>
              </w:rPr>
              <w:t>Mean from 395 to 780 days depending on study arm</w:t>
            </w:r>
          </w:p>
        </w:tc>
        <w:tc>
          <w:tcPr>
            <w:tcW w:w="2765" w:type="pct"/>
          </w:tcPr>
          <w:p w14:paraId="25AB8E17" w14:textId="3DB7F640" w:rsidR="00C833C0" w:rsidRPr="00E54537" w:rsidRDefault="004C4B24" w:rsidP="009628F7">
            <w:pPr>
              <w:pStyle w:val="MDPI42tablebody"/>
              <w:jc w:val="left"/>
              <w:rPr>
                <w:sz w:val="16"/>
                <w:szCs w:val="16"/>
              </w:rPr>
            </w:pPr>
            <w:r w:rsidRPr="00E54537">
              <w:rPr>
                <w:sz w:val="16"/>
                <w:szCs w:val="16"/>
              </w:rPr>
              <w:t>Hospitalization</w:t>
            </w:r>
            <w:r w:rsidR="00C833C0" w:rsidRPr="00E54537">
              <w:rPr>
                <w:sz w:val="16"/>
                <w:szCs w:val="16"/>
              </w:rPr>
              <w:t xml:space="preserve"> rates were higher in patients with long COVID compared with patients without long COVID, and without COVID-19, and compared to the corresponding pre-pandemic period (p&lt;0.001) but </w:t>
            </w:r>
            <w:r w:rsidR="000B410D" w:rsidRPr="00E54537">
              <w:rPr>
                <w:sz w:val="16"/>
                <w:szCs w:val="16"/>
              </w:rPr>
              <w:t xml:space="preserve">not </w:t>
            </w:r>
            <w:r w:rsidR="00FA6C1B" w:rsidRPr="00E54537">
              <w:rPr>
                <w:sz w:val="16"/>
                <w:szCs w:val="16"/>
              </w:rPr>
              <w:t xml:space="preserve">to </w:t>
            </w:r>
            <w:r w:rsidR="00C833C0" w:rsidRPr="00E54537">
              <w:rPr>
                <w:sz w:val="16"/>
                <w:szCs w:val="16"/>
              </w:rPr>
              <w:t>the COVID only, no long COVID group.</w:t>
            </w:r>
          </w:p>
        </w:tc>
      </w:tr>
      <w:tr w:rsidR="00C833C0" w:rsidRPr="00E54537" w14:paraId="490F3CF7" w14:textId="77777777" w:rsidTr="00C62F56">
        <w:trPr>
          <w:trHeight w:val="373"/>
          <w:jc w:val="right"/>
        </w:trPr>
        <w:tc>
          <w:tcPr>
            <w:tcW w:w="549" w:type="pct"/>
          </w:tcPr>
          <w:p w14:paraId="08A82BA6" w14:textId="77777777" w:rsidR="00C833C0" w:rsidRPr="00E54537" w:rsidRDefault="00C833C0" w:rsidP="009628F7">
            <w:pPr>
              <w:pStyle w:val="MDPI42tablebody"/>
              <w:jc w:val="left"/>
              <w:rPr>
                <w:sz w:val="16"/>
                <w:szCs w:val="16"/>
              </w:rPr>
            </w:pPr>
            <w:r w:rsidRPr="00E54537">
              <w:rPr>
                <w:sz w:val="16"/>
                <w:szCs w:val="16"/>
              </w:rPr>
              <w:t>Fung 2023</w:t>
            </w:r>
          </w:p>
        </w:tc>
        <w:tc>
          <w:tcPr>
            <w:tcW w:w="1131" w:type="pct"/>
          </w:tcPr>
          <w:p w14:paraId="369F45AA"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COVID;</w:t>
            </w:r>
          </w:p>
          <w:p w14:paraId="174053BE" w14:textId="77777777" w:rsidR="00C833C0" w:rsidRPr="00E54537" w:rsidRDefault="00C833C0" w:rsidP="00EC5B81">
            <w:pPr>
              <w:pStyle w:val="MDPI42tablebody"/>
              <w:numPr>
                <w:ilvl w:val="0"/>
                <w:numId w:val="41"/>
              </w:numPr>
              <w:ind w:left="113" w:hanging="113"/>
              <w:jc w:val="left"/>
              <w:rPr>
                <w:sz w:val="16"/>
                <w:szCs w:val="16"/>
              </w:rPr>
            </w:pPr>
            <w:r w:rsidRPr="00E54537">
              <w:rPr>
                <w:sz w:val="16"/>
                <w:szCs w:val="16"/>
              </w:rPr>
              <w:t>Long flu</w:t>
            </w:r>
          </w:p>
        </w:tc>
        <w:tc>
          <w:tcPr>
            <w:tcW w:w="555" w:type="pct"/>
          </w:tcPr>
          <w:p w14:paraId="19D9505B" w14:textId="77777777" w:rsidR="00C833C0" w:rsidRPr="00E54537" w:rsidRDefault="00C833C0" w:rsidP="009628F7">
            <w:pPr>
              <w:pStyle w:val="MDPI42tablebody"/>
              <w:jc w:val="left"/>
              <w:rPr>
                <w:sz w:val="16"/>
                <w:szCs w:val="16"/>
              </w:rPr>
            </w:pPr>
            <w:r w:rsidRPr="00E54537">
              <w:rPr>
                <w:sz w:val="16"/>
                <w:szCs w:val="16"/>
              </w:rPr>
              <w:t>2 months</w:t>
            </w:r>
          </w:p>
        </w:tc>
        <w:tc>
          <w:tcPr>
            <w:tcW w:w="2765" w:type="pct"/>
          </w:tcPr>
          <w:p w14:paraId="40EC6C9B" w14:textId="4C65DDDF" w:rsidR="00C833C0" w:rsidRPr="00E54537" w:rsidRDefault="00C833C0" w:rsidP="009628F7">
            <w:pPr>
              <w:pStyle w:val="MDPI42tablebody"/>
              <w:jc w:val="left"/>
              <w:rPr>
                <w:sz w:val="16"/>
                <w:szCs w:val="16"/>
              </w:rPr>
            </w:pPr>
            <w:r w:rsidRPr="00E54537">
              <w:rPr>
                <w:sz w:val="16"/>
                <w:szCs w:val="16"/>
              </w:rPr>
              <w:t xml:space="preserve">Outpatients with long COVID were more likely to have any-cause </w:t>
            </w:r>
            <w:r w:rsidR="004C4B24" w:rsidRPr="00E54537">
              <w:rPr>
                <w:sz w:val="16"/>
                <w:szCs w:val="16"/>
              </w:rPr>
              <w:t>hospitalization</w:t>
            </w:r>
            <w:r w:rsidRPr="00E54537">
              <w:rPr>
                <w:sz w:val="16"/>
                <w:szCs w:val="16"/>
              </w:rPr>
              <w:t xml:space="preserve"> than patients with long flu (31.9% vs. 26.8%, adjusted OR=1.06, 95%CI: 1.05-1.08, p&lt;0.001).</w:t>
            </w:r>
          </w:p>
        </w:tc>
      </w:tr>
      <w:tr w:rsidR="00657334" w:rsidRPr="00E54537" w14:paraId="78BE81F3" w14:textId="77777777" w:rsidTr="00707D60">
        <w:trPr>
          <w:trHeight w:val="373"/>
          <w:jc w:val="right"/>
        </w:trPr>
        <w:tc>
          <w:tcPr>
            <w:tcW w:w="5000" w:type="pct"/>
            <w:gridSpan w:val="4"/>
          </w:tcPr>
          <w:p w14:paraId="02FE8199" w14:textId="0432D7A9" w:rsidR="00657334" w:rsidRPr="00E54537" w:rsidRDefault="00657334" w:rsidP="00657334">
            <w:pPr>
              <w:pStyle w:val="MDPI42tablebody"/>
              <w:jc w:val="left"/>
              <w:rPr>
                <w:sz w:val="16"/>
                <w:szCs w:val="16"/>
              </w:rPr>
            </w:pPr>
            <w:r w:rsidRPr="00E54537">
              <w:rPr>
                <w:b/>
                <w:bCs/>
                <w:sz w:val="16"/>
                <w:szCs w:val="16"/>
              </w:rPr>
              <w:t>Long-term HCRU in patients with COVID-19</w:t>
            </w:r>
          </w:p>
        </w:tc>
      </w:tr>
      <w:tr w:rsidR="00A0372B" w:rsidRPr="00E54537" w14:paraId="051CA4D9" w14:textId="77777777" w:rsidTr="00C62F56">
        <w:trPr>
          <w:trHeight w:val="373"/>
          <w:jc w:val="right"/>
        </w:trPr>
        <w:tc>
          <w:tcPr>
            <w:tcW w:w="549" w:type="pct"/>
          </w:tcPr>
          <w:p w14:paraId="1C474B5E" w14:textId="47988187" w:rsidR="00A0372B" w:rsidRPr="00E54537" w:rsidRDefault="00A0372B" w:rsidP="00657334">
            <w:pPr>
              <w:pStyle w:val="MDPI42tablebody"/>
              <w:jc w:val="left"/>
              <w:rPr>
                <w:sz w:val="16"/>
                <w:szCs w:val="16"/>
              </w:rPr>
            </w:pPr>
            <w:r w:rsidRPr="00E54537">
              <w:rPr>
                <w:sz w:val="16"/>
                <w:szCs w:val="16"/>
              </w:rPr>
              <w:t>Comelli 2022</w:t>
            </w:r>
          </w:p>
        </w:tc>
        <w:tc>
          <w:tcPr>
            <w:tcW w:w="1131" w:type="pct"/>
          </w:tcPr>
          <w:p w14:paraId="76230806" w14:textId="00B93363" w:rsidR="00A0372B" w:rsidRPr="00E54537" w:rsidRDefault="00A0372B" w:rsidP="00657334">
            <w:pPr>
              <w:pStyle w:val="MDPI42tablebody"/>
              <w:numPr>
                <w:ilvl w:val="0"/>
                <w:numId w:val="41"/>
              </w:numPr>
              <w:ind w:left="113" w:hanging="113"/>
              <w:jc w:val="left"/>
              <w:rPr>
                <w:sz w:val="16"/>
                <w:szCs w:val="16"/>
              </w:rPr>
            </w:pPr>
            <w:r w:rsidRPr="00E54537">
              <w:rPr>
                <w:sz w:val="16"/>
                <w:szCs w:val="16"/>
              </w:rPr>
              <w:t>COVID-19 (hospitalized)</w:t>
            </w:r>
          </w:p>
        </w:tc>
        <w:tc>
          <w:tcPr>
            <w:tcW w:w="555" w:type="pct"/>
          </w:tcPr>
          <w:p w14:paraId="38F7B4D5" w14:textId="54F5F7DA" w:rsidR="00A0372B" w:rsidRPr="00E54537" w:rsidRDefault="00B41924" w:rsidP="00657334">
            <w:pPr>
              <w:pStyle w:val="MDPI42tablebody"/>
              <w:jc w:val="left"/>
              <w:rPr>
                <w:sz w:val="16"/>
                <w:szCs w:val="16"/>
              </w:rPr>
            </w:pPr>
            <w:r w:rsidRPr="00E54537">
              <w:rPr>
                <w:sz w:val="16"/>
                <w:szCs w:val="16"/>
              </w:rPr>
              <w:t>12 months</w:t>
            </w:r>
          </w:p>
        </w:tc>
        <w:tc>
          <w:tcPr>
            <w:tcW w:w="2765" w:type="pct"/>
          </w:tcPr>
          <w:p w14:paraId="11E12387" w14:textId="4B4A6467" w:rsidR="00A0372B" w:rsidRPr="00E54537" w:rsidRDefault="00B41924" w:rsidP="00657334">
            <w:pPr>
              <w:pStyle w:val="MDPI42tablebody"/>
              <w:jc w:val="left"/>
              <w:rPr>
                <w:sz w:val="16"/>
                <w:szCs w:val="16"/>
              </w:rPr>
            </w:pPr>
            <w:r w:rsidRPr="00E54537">
              <w:rPr>
                <w:sz w:val="16"/>
                <w:szCs w:val="16"/>
              </w:rPr>
              <w:t xml:space="preserve">19.4% of patients needed severe medical care post-hospital discharge, with 10.6% visiting the ED and 6.6% requiring </w:t>
            </w:r>
            <w:r w:rsidR="004C4B24" w:rsidRPr="00E54537">
              <w:rPr>
                <w:sz w:val="16"/>
                <w:szCs w:val="16"/>
              </w:rPr>
              <w:t>hospitalization</w:t>
            </w:r>
            <w:r w:rsidRPr="00E54537">
              <w:rPr>
                <w:sz w:val="16"/>
                <w:szCs w:val="16"/>
              </w:rPr>
              <w:t>.</w:t>
            </w:r>
          </w:p>
        </w:tc>
      </w:tr>
      <w:tr w:rsidR="001A0BD7" w:rsidRPr="00E54537" w14:paraId="465870E7" w14:textId="77777777" w:rsidTr="00C62F56">
        <w:trPr>
          <w:trHeight w:val="373"/>
          <w:jc w:val="right"/>
        </w:trPr>
        <w:tc>
          <w:tcPr>
            <w:tcW w:w="549" w:type="pct"/>
          </w:tcPr>
          <w:p w14:paraId="7C97CED5" w14:textId="640C1102" w:rsidR="001A0BD7" w:rsidRPr="00E54537" w:rsidRDefault="001A0BD7" w:rsidP="00657334">
            <w:pPr>
              <w:pStyle w:val="MDPI42tablebody"/>
              <w:jc w:val="left"/>
              <w:rPr>
                <w:sz w:val="16"/>
                <w:szCs w:val="16"/>
              </w:rPr>
            </w:pPr>
            <w:r w:rsidRPr="00E54537">
              <w:rPr>
                <w:sz w:val="16"/>
                <w:szCs w:val="16"/>
              </w:rPr>
              <w:t>Griffin 2023</w:t>
            </w:r>
          </w:p>
        </w:tc>
        <w:tc>
          <w:tcPr>
            <w:tcW w:w="1131" w:type="pct"/>
          </w:tcPr>
          <w:p w14:paraId="66E6B418" w14:textId="50B4D31B" w:rsidR="001A0BD7" w:rsidRPr="00E54537" w:rsidRDefault="001A0BD7" w:rsidP="00657334">
            <w:pPr>
              <w:pStyle w:val="MDPI42tablebody"/>
              <w:numPr>
                <w:ilvl w:val="0"/>
                <w:numId w:val="41"/>
              </w:numPr>
              <w:ind w:left="113" w:hanging="113"/>
              <w:jc w:val="left"/>
              <w:rPr>
                <w:sz w:val="16"/>
                <w:szCs w:val="16"/>
              </w:rPr>
            </w:pPr>
            <w:r w:rsidRPr="00E54537">
              <w:rPr>
                <w:sz w:val="16"/>
                <w:szCs w:val="16"/>
              </w:rPr>
              <w:t>COVID-19</w:t>
            </w:r>
          </w:p>
        </w:tc>
        <w:tc>
          <w:tcPr>
            <w:tcW w:w="555" w:type="pct"/>
          </w:tcPr>
          <w:p w14:paraId="3B97DA28" w14:textId="1B1194AD" w:rsidR="001A0BD7" w:rsidRPr="00E54537" w:rsidRDefault="001A0BD7" w:rsidP="00657334">
            <w:pPr>
              <w:pStyle w:val="MDPI42tablebody"/>
              <w:jc w:val="left"/>
              <w:rPr>
                <w:sz w:val="16"/>
                <w:szCs w:val="16"/>
              </w:rPr>
            </w:pPr>
            <w:r w:rsidRPr="00E54537">
              <w:rPr>
                <w:sz w:val="16"/>
                <w:szCs w:val="16"/>
              </w:rPr>
              <w:t>3 months</w:t>
            </w:r>
          </w:p>
        </w:tc>
        <w:tc>
          <w:tcPr>
            <w:tcW w:w="2765" w:type="pct"/>
          </w:tcPr>
          <w:p w14:paraId="4B98F76A" w14:textId="4D55B44D" w:rsidR="001A0BD7" w:rsidRPr="00E54537" w:rsidRDefault="004C4B24" w:rsidP="00657334">
            <w:pPr>
              <w:pStyle w:val="MDPI42tablebody"/>
              <w:jc w:val="left"/>
              <w:rPr>
                <w:sz w:val="16"/>
                <w:szCs w:val="16"/>
              </w:rPr>
            </w:pPr>
            <w:r w:rsidRPr="00E54537">
              <w:rPr>
                <w:sz w:val="16"/>
                <w:szCs w:val="16"/>
              </w:rPr>
              <w:t>Hospitalization</w:t>
            </w:r>
            <w:r w:rsidR="00A23A12" w:rsidRPr="00E54537">
              <w:rPr>
                <w:sz w:val="16"/>
                <w:szCs w:val="16"/>
              </w:rPr>
              <w:t xml:space="preserve"> rates were 6.7% within the initial 90 days, with a peak of 5.6% observed within the initial 30 days.</w:t>
            </w:r>
          </w:p>
        </w:tc>
      </w:tr>
      <w:tr w:rsidR="00D23B77" w:rsidRPr="00E54537" w14:paraId="4DE9E451" w14:textId="77777777" w:rsidTr="00C62F56">
        <w:trPr>
          <w:trHeight w:val="373"/>
          <w:jc w:val="right"/>
        </w:trPr>
        <w:tc>
          <w:tcPr>
            <w:tcW w:w="549" w:type="pct"/>
          </w:tcPr>
          <w:p w14:paraId="10B077B4" w14:textId="75DC3EE5" w:rsidR="00D23B77" w:rsidRPr="00E54537" w:rsidRDefault="00D23B77" w:rsidP="00657334">
            <w:pPr>
              <w:pStyle w:val="MDPI42tablebody"/>
              <w:jc w:val="left"/>
              <w:rPr>
                <w:sz w:val="16"/>
                <w:szCs w:val="16"/>
              </w:rPr>
            </w:pPr>
            <w:r w:rsidRPr="00E54537">
              <w:rPr>
                <w:sz w:val="16"/>
                <w:szCs w:val="16"/>
              </w:rPr>
              <w:t>Nica 2022</w:t>
            </w:r>
          </w:p>
        </w:tc>
        <w:tc>
          <w:tcPr>
            <w:tcW w:w="1131" w:type="pct"/>
          </w:tcPr>
          <w:p w14:paraId="5CECDC8D" w14:textId="5DB9AB22" w:rsidR="00D23B77" w:rsidRPr="00E54537" w:rsidRDefault="00D23B77" w:rsidP="00657334">
            <w:pPr>
              <w:pStyle w:val="MDPI42tablebody"/>
              <w:numPr>
                <w:ilvl w:val="0"/>
                <w:numId w:val="41"/>
              </w:numPr>
              <w:ind w:left="113" w:hanging="113"/>
              <w:jc w:val="left"/>
              <w:rPr>
                <w:sz w:val="16"/>
                <w:szCs w:val="16"/>
              </w:rPr>
            </w:pPr>
            <w:r w:rsidRPr="00E54537">
              <w:rPr>
                <w:sz w:val="16"/>
                <w:szCs w:val="16"/>
              </w:rPr>
              <w:t>COVID-19 visiting ED</w:t>
            </w:r>
          </w:p>
        </w:tc>
        <w:tc>
          <w:tcPr>
            <w:tcW w:w="555" w:type="pct"/>
          </w:tcPr>
          <w:p w14:paraId="05D5F4DA" w14:textId="6C92D434" w:rsidR="00D23B77" w:rsidRPr="00E54537" w:rsidRDefault="00B068C9" w:rsidP="00657334">
            <w:pPr>
              <w:pStyle w:val="MDPI42tablebody"/>
              <w:jc w:val="left"/>
              <w:rPr>
                <w:sz w:val="16"/>
                <w:szCs w:val="16"/>
              </w:rPr>
            </w:pPr>
            <w:r w:rsidRPr="00E54537">
              <w:rPr>
                <w:sz w:val="16"/>
                <w:szCs w:val="16"/>
              </w:rPr>
              <w:t>&gt;4 months</w:t>
            </w:r>
          </w:p>
        </w:tc>
        <w:tc>
          <w:tcPr>
            <w:tcW w:w="2765" w:type="pct"/>
          </w:tcPr>
          <w:p w14:paraId="6BC386DB" w14:textId="034376C4" w:rsidR="00D23B77" w:rsidRPr="00E54537" w:rsidRDefault="00D23B77" w:rsidP="00D23B77">
            <w:pPr>
              <w:pStyle w:val="MDPI42tablebody"/>
              <w:jc w:val="left"/>
              <w:rPr>
                <w:sz w:val="16"/>
                <w:szCs w:val="16"/>
              </w:rPr>
            </w:pPr>
            <w:r w:rsidRPr="00E54537">
              <w:rPr>
                <w:sz w:val="16"/>
                <w:szCs w:val="16"/>
              </w:rPr>
              <w:t xml:space="preserve">262 patients required ED admission and presented with acute post-SARS-CoV-2 infection symptoms; 42.6% of ED visits resulted in </w:t>
            </w:r>
            <w:r w:rsidR="004C4B24" w:rsidRPr="00E54537">
              <w:rPr>
                <w:sz w:val="16"/>
                <w:szCs w:val="16"/>
              </w:rPr>
              <w:t>hospitalization</w:t>
            </w:r>
            <w:r w:rsidRPr="00E54537">
              <w:rPr>
                <w:sz w:val="16"/>
                <w:szCs w:val="16"/>
              </w:rPr>
              <w:t>.</w:t>
            </w:r>
          </w:p>
          <w:p w14:paraId="7C1F0AAF" w14:textId="21A9A3F2" w:rsidR="00D23B77" w:rsidRPr="00E54537" w:rsidRDefault="00D23B77" w:rsidP="00D23B77">
            <w:pPr>
              <w:pStyle w:val="MDPI42tablebody"/>
              <w:jc w:val="left"/>
              <w:rPr>
                <w:sz w:val="16"/>
                <w:szCs w:val="16"/>
              </w:rPr>
            </w:pPr>
            <w:r w:rsidRPr="00E54537">
              <w:rPr>
                <w:sz w:val="16"/>
                <w:szCs w:val="16"/>
              </w:rPr>
              <w:t xml:space="preserve">24% of ED visits (7% </w:t>
            </w:r>
            <w:r w:rsidR="004C4B24" w:rsidRPr="00E54537">
              <w:rPr>
                <w:sz w:val="16"/>
                <w:szCs w:val="16"/>
              </w:rPr>
              <w:t>hospitalizations</w:t>
            </w:r>
            <w:r w:rsidRPr="00E54537">
              <w:rPr>
                <w:sz w:val="16"/>
                <w:szCs w:val="16"/>
              </w:rPr>
              <w:t>) occurred after 3 months from the initial COVID-19 diagnosis.</w:t>
            </w:r>
          </w:p>
        </w:tc>
      </w:tr>
      <w:tr w:rsidR="00657334" w:rsidRPr="00E54537" w14:paraId="22615F0A" w14:textId="77777777" w:rsidTr="00C62F56">
        <w:trPr>
          <w:trHeight w:val="373"/>
          <w:jc w:val="right"/>
        </w:trPr>
        <w:tc>
          <w:tcPr>
            <w:tcW w:w="549" w:type="pct"/>
          </w:tcPr>
          <w:p w14:paraId="3411C27B" w14:textId="34094240" w:rsidR="00657334" w:rsidRPr="00E54537" w:rsidRDefault="00CC44ED" w:rsidP="00657334">
            <w:pPr>
              <w:pStyle w:val="MDPI42tablebody"/>
              <w:jc w:val="left"/>
              <w:rPr>
                <w:sz w:val="16"/>
                <w:szCs w:val="16"/>
              </w:rPr>
            </w:pPr>
            <w:r w:rsidRPr="00E54537">
              <w:rPr>
                <w:sz w:val="16"/>
                <w:szCs w:val="16"/>
              </w:rPr>
              <w:t>DeMartino 2022</w:t>
            </w:r>
          </w:p>
        </w:tc>
        <w:tc>
          <w:tcPr>
            <w:tcW w:w="1131" w:type="pct"/>
          </w:tcPr>
          <w:p w14:paraId="45FB4F87" w14:textId="77777777" w:rsidR="005073E8" w:rsidRPr="00E54537" w:rsidRDefault="005073E8" w:rsidP="005073E8">
            <w:pPr>
              <w:pStyle w:val="MDPI42tablebody"/>
              <w:numPr>
                <w:ilvl w:val="0"/>
                <w:numId w:val="41"/>
              </w:numPr>
              <w:ind w:left="113" w:hanging="113"/>
              <w:jc w:val="left"/>
              <w:rPr>
                <w:sz w:val="16"/>
                <w:szCs w:val="16"/>
              </w:rPr>
            </w:pPr>
            <w:r w:rsidRPr="00E54537">
              <w:rPr>
                <w:sz w:val="16"/>
                <w:szCs w:val="16"/>
              </w:rPr>
              <w:t>COVID-19</w:t>
            </w:r>
          </w:p>
          <w:p w14:paraId="285EAD65" w14:textId="5526BC7E" w:rsidR="00657334" w:rsidRPr="00E54537" w:rsidRDefault="005073E8" w:rsidP="005073E8">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532EC4D2" w14:textId="3D26BDFF" w:rsidR="00657334" w:rsidRPr="00E54537" w:rsidRDefault="005073E8" w:rsidP="00657334">
            <w:pPr>
              <w:pStyle w:val="MDPI42tablebody"/>
              <w:jc w:val="left"/>
              <w:rPr>
                <w:sz w:val="16"/>
                <w:szCs w:val="16"/>
              </w:rPr>
            </w:pPr>
            <w:r w:rsidRPr="00E54537">
              <w:rPr>
                <w:sz w:val="16"/>
                <w:szCs w:val="16"/>
              </w:rPr>
              <w:t>6 months</w:t>
            </w:r>
          </w:p>
        </w:tc>
        <w:tc>
          <w:tcPr>
            <w:tcW w:w="2765" w:type="pct"/>
          </w:tcPr>
          <w:p w14:paraId="444190EB" w14:textId="7AADA217" w:rsidR="00657334" w:rsidRPr="00E54537" w:rsidRDefault="001A70F3" w:rsidP="00657334">
            <w:pPr>
              <w:pStyle w:val="MDPI42tablebody"/>
              <w:jc w:val="left"/>
              <w:rPr>
                <w:sz w:val="16"/>
                <w:szCs w:val="16"/>
              </w:rPr>
            </w:pPr>
            <w:r w:rsidRPr="00E54537">
              <w:rPr>
                <w:sz w:val="16"/>
                <w:szCs w:val="16"/>
              </w:rPr>
              <w:t xml:space="preserve">Compared with controls, patients with COVID-19 were significantly more likely to have at least 1 inpatient admission through month 4 (all p &lt; 0.05) and at least 1 </w:t>
            </w:r>
            <w:r w:rsidR="00C97505" w:rsidRPr="00E54537">
              <w:rPr>
                <w:sz w:val="16"/>
                <w:szCs w:val="16"/>
              </w:rPr>
              <w:t>ED</w:t>
            </w:r>
            <w:r w:rsidRPr="00E54537">
              <w:rPr>
                <w:sz w:val="16"/>
                <w:szCs w:val="16"/>
              </w:rPr>
              <w:t xml:space="preserve"> visit through </w:t>
            </w:r>
            <w:r w:rsidR="00C97505" w:rsidRPr="00E54537">
              <w:rPr>
                <w:sz w:val="16"/>
                <w:szCs w:val="16"/>
              </w:rPr>
              <w:t>m</w:t>
            </w:r>
            <w:r w:rsidRPr="00E54537">
              <w:rPr>
                <w:sz w:val="16"/>
                <w:szCs w:val="16"/>
              </w:rPr>
              <w:t xml:space="preserve">onth 6 (all </w:t>
            </w:r>
            <w:r w:rsidR="00C97505" w:rsidRPr="00E54537">
              <w:rPr>
                <w:sz w:val="16"/>
                <w:szCs w:val="16"/>
              </w:rPr>
              <w:t>p</w:t>
            </w:r>
            <w:r w:rsidRPr="00E54537">
              <w:rPr>
                <w:sz w:val="16"/>
                <w:szCs w:val="16"/>
              </w:rPr>
              <w:t xml:space="preserve"> &lt; 0.001), though the magnitude of the difference between groups after </w:t>
            </w:r>
            <w:r w:rsidR="00C97505" w:rsidRPr="00E54537">
              <w:rPr>
                <w:sz w:val="16"/>
                <w:szCs w:val="16"/>
              </w:rPr>
              <w:t>m</w:t>
            </w:r>
            <w:r w:rsidRPr="00E54537">
              <w:rPr>
                <w:sz w:val="16"/>
                <w:szCs w:val="16"/>
              </w:rPr>
              <w:t xml:space="preserve">onth 1 was small (&lt; 0.2% for inpatient, &lt; 3% for </w:t>
            </w:r>
            <w:r w:rsidR="00C97505" w:rsidRPr="00E54537">
              <w:rPr>
                <w:sz w:val="16"/>
                <w:szCs w:val="16"/>
              </w:rPr>
              <w:t>ED</w:t>
            </w:r>
            <w:r w:rsidRPr="00E54537">
              <w:rPr>
                <w:sz w:val="16"/>
                <w:szCs w:val="16"/>
              </w:rPr>
              <w:t>)</w:t>
            </w:r>
            <w:r w:rsidR="00C97505" w:rsidRPr="00E54537">
              <w:rPr>
                <w:sz w:val="16"/>
                <w:szCs w:val="16"/>
              </w:rPr>
              <w:t>.</w:t>
            </w:r>
          </w:p>
        </w:tc>
      </w:tr>
      <w:tr w:rsidR="00CC44ED" w:rsidRPr="00E54537" w14:paraId="71945E35" w14:textId="77777777" w:rsidTr="00C62F56">
        <w:trPr>
          <w:trHeight w:val="373"/>
          <w:jc w:val="right"/>
        </w:trPr>
        <w:tc>
          <w:tcPr>
            <w:tcW w:w="549" w:type="pct"/>
          </w:tcPr>
          <w:p w14:paraId="023F8A94" w14:textId="31690AC1" w:rsidR="00CC44ED" w:rsidRPr="00E54537" w:rsidRDefault="00CC44ED" w:rsidP="00657334">
            <w:pPr>
              <w:pStyle w:val="MDPI42tablebody"/>
              <w:jc w:val="left"/>
              <w:rPr>
                <w:sz w:val="16"/>
                <w:szCs w:val="16"/>
              </w:rPr>
            </w:pPr>
            <w:r w:rsidRPr="00E54537">
              <w:rPr>
                <w:sz w:val="16"/>
                <w:szCs w:val="16"/>
              </w:rPr>
              <w:t>Formoso</w:t>
            </w:r>
            <w:r w:rsidR="00642D0B" w:rsidRPr="00E54537">
              <w:rPr>
                <w:sz w:val="16"/>
                <w:szCs w:val="16"/>
              </w:rPr>
              <w:t xml:space="preserve"> 2023</w:t>
            </w:r>
          </w:p>
        </w:tc>
        <w:tc>
          <w:tcPr>
            <w:tcW w:w="1131" w:type="pct"/>
          </w:tcPr>
          <w:p w14:paraId="452121C2" w14:textId="77777777" w:rsidR="00D50419" w:rsidRPr="00E54537" w:rsidRDefault="00D50419" w:rsidP="00D50419">
            <w:pPr>
              <w:pStyle w:val="MDPI42tablebody"/>
              <w:numPr>
                <w:ilvl w:val="0"/>
                <w:numId w:val="41"/>
              </w:numPr>
              <w:ind w:left="113" w:hanging="113"/>
              <w:jc w:val="left"/>
              <w:rPr>
                <w:sz w:val="16"/>
                <w:szCs w:val="16"/>
              </w:rPr>
            </w:pPr>
            <w:r w:rsidRPr="00E54537">
              <w:rPr>
                <w:sz w:val="16"/>
                <w:szCs w:val="16"/>
              </w:rPr>
              <w:t>COVID-19</w:t>
            </w:r>
          </w:p>
          <w:p w14:paraId="5AB3FB26" w14:textId="2318E892" w:rsidR="00CC44ED" w:rsidRPr="00E54537" w:rsidRDefault="00D50419" w:rsidP="00D5041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45B6C12A" w14:textId="4A0CE826" w:rsidR="00CC44ED" w:rsidRPr="00E54537" w:rsidRDefault="00D50419" w:rsidP="00657334">
            <w:pPr>
              <w:pStyle w:val="MDPI42tablebody"/>
              <w:jc w:val="left"/>
              <w:rPr>
                <w:sz w:val="16"/>
                <w:szCs w:val="16"/>
              </w:rPr>
            </w:pPr>
            <w:r w:rsidRPr="00E54537">
              <w:rPr>
                <w:sz w:val="16"/>
                <w:szCs w:val="16"/>
              </w:rPr>
              <w:t>Median 152 days</w:t>
            </w:r>
          </w:p>
        </w:tc>
        <w:tc>
          <w:tcPr>
            <w:tcW w:w="2765" w:type="pct"/>
          </w:tcPr>
          <w:p w14:paraId="0F1D495E" w14:textId="636A39FB" w:rsidR="00CC44ED" w:rsidRPr="00E54537" w:rsidRDefault="006F206C" w:rsidP="00657334">
            <w:pPr>
              <w:pStyle w:val="MDPI42tablebody"/>
              <w:jc w:val="left"/>
              <w:rPr>
                <w:sz w:val="16"/>
                <w:szCs w:val="16"/>
              </w:rPr>
            </w:pPr>
            <w:r w:rsidRPr="00E54537">
              <w:rPr>
                <w:sz w:val="16"/>
                <w:szCs w:val="16"/>
              </w:rPr>
              <w:t>Previous exposure to the SARS-CoV-2 infection was associated with a higher probability of needing access to hospital care compared with patients without COVID-19</w:t>
            </w:r>
            <w:r w:rsidR="00843322" w:rsidRPr="00E54537">
              <w:rPr>
                <w:sz w:val="16"/>
                <w:szCs w:val="16"/>
              </w:rPr>
              <w:t xml:space="preserve"> </w:t>
            </w:r>
            <w:r w:rsidR="00A7527C" w:rsidRPr="00E54537">
              <w:rPr>
                <w:sz w:val="16"/>
                <w:szCs w:val="16"/>
              </w:rPr>
              <w:t xml:space="preserve">including </w:t>
            </w:r>
            <w:r w:rsidR="00843322" w:rsidRPr="00E54537">
              <w:rPr>
                <w:sz w:val="16"/>
                <w:szCs w:val="16"/>
              </w:rPr>
              <w:t>non-surgical hospital admission</w:t>
            </w:r>
            <w:r w:rsidR="00A7527C" w:rsidRPr="00E54537">
              <w:rPr>
                <w:sz w:val="16"/>
                <w:szCs w:val="16"/>
              </w:rPr>
              <w:t xml:space="preserve"> (HR</w:t>
            </w:r>
            <w:r w:rsidR="0082137E" w:rsidRPr="00E54537">
              <w:rPr>
                <w:sz w:val="16"/>
                <w:szCs w:val="16"/>
              </w:rPr>
              <w:t>=1.38, 95%CI: 1.25-1.52</w:t>
            </w:r>
            <w:r w:rsidR="00A7527C" w:rsidRPr="00E54537">
              <w:rPr>
                <w:sz w:val="16"/>
                <w:szCs w:val="16"/>
              </w:rPr>
              <w:t xml:space="preserve">), hospital admission for respiratory </w:t>
            </w:r>
            <w:r w:rsidR="0082137E" w:rsidRPr="00E54537">
              <w:rPr>
                <w:sz w:val="16"/>
                <w:szCs w:val="16"/>
              </w:rPr>
              <w:t>disease (HR=</w:t>
            </w:r>
            <w:r w:rsidR="00021AB2" w:rsidRPr="00E54537">
              <w:rPr>
                <w:sz w:val="16"/>
                <w:szCs w:val="16"/>
              </w:rPr>
              <w:t>2.09</w:t>
            </w:r>
            <w:r w:rsidR="0082137E" w:rsidRPr="00E54537">
              <w:rPr>
                <w:sz w:val="16"/>
                <w:szCs w:val="16"/>
              </w:rPr>
              <w:t xml:space="preserve">, 95%CI: </w:t>
            </w:r>
            <w:r w:rsidR="00021AB2" w:rsidRPr="00E54537">
              <w:rPr>
                <w:sz w:val="16"/>
                <w:szCs w:val="16"/>
              </w:rPr>
              <w:t>2.07</w:t>
            </w:r>
            <w:r w:rsidR="0082137E" w:rsidRPr="00E54537">
              <w:rPr>
                <w:sz w:val="16"/>
                <w:szCs w:val="16"/>
              </w:rPr>
              <w:t>-</w:t>
            </w:r>
            <w:r w:rsidR="00021AB2" w:rsidRPr="00E54537">
              <w:rPr>
                <w:sz w:val="16"/>
                <w:szCs w:val="16"/>
              </w:rPr>
              <w:t>4.09</w:t>
            </w:r>
            <w:r w:rsidR="0082137E" w:rsidRPr="00E54537">
              <w:rPr>
                <w:sz w:val="16"/>
                <w:szCs w:val="16"/>
              </w:rPr>
              <w:t>) and hospital admission for heart disease (HR</w:t>
            </w:r>
            <w:r w:rsidR="00021AB2" w:rsidRPr="00E54537">
              <w:rPr>
                <w:sz w:val="16"/>
                <w:szCs w:val="16"/>
              </w:rPr>
              <w:t>=</w:t>
            </w:r>
            <w:r w:rsidR="00E558CE" w:rsidRPr="00E54537">
              <w:rPr>
                <w:sz w:val="16"/>
                <w:szCs w:val="16"/>
              </w:rPr>
              <w:t>1.93, 95%CI: 1.46-2.55</w:t>
            </w:r>
            <w:r w:rsidR="0082137E" w:rsidRPr="00E54537">
              <w:rPr>
                <w:sz w:val="16"/>
                <w:szCs w:val="16"/>
              </w:rPr>
              <w:t>)</w:t>
            </w:r>
            <w:r w:rsidR="00E558CE" w:rsidRPr="00E54537">
              <w:rPr>
                <w:sz w:val="16"/>
                <w:szCs w:val="16"/>
              </w:rPr>
              <w:t>.</w:t>
            </w:r>
          </w:p>
        </w:tc>
      </w:tr>
      <w:tr w:rsidR="009A226D" w:rsidRPr="00E54537" w14:paraId="63CD359B" w14:textId="77777777" w:rsidTr="00C62F56">
        <w:trPr>
          <w:trHeight w:val="373"/>
          <w:jc w:val="right"/>
        </w:trPr>
        <w:tc>
          <w:tcPr>
            <w:tcW w:w="549" w:type="pct"/>
          </w:tcPr>
          <w:p w14:paraId="57D53C13" w14:textId="04EF301B" w:rsidR="009A226D" w:rsidRPr="00E54537" w:rsidRDefault="009A226D" w:rsidP="009A226D">
            <w:pPr>
              <w:pStyle w:val="MDPI42tablebody"/>
              <w:jc w:val="left"/>
              <w:rPr>
                <w:sz w:val="16"/>
                <w:szCs w:val="16"/>
              </w:rPr>
            </w:pPr>
            <w:r w:rsidRPr="00E54537">
              <w:rPr>
                <w:sz w:val="16"/>
                <w:szCs w:val="16"/>
              </w:rPr>
              <w:t>McNaughton 2022</w:t>
            </w:r>
          </w:p>
        </w:tc>
        <w:tc>
          <w:tcPr>
            <w:tcW w:w="1131" w:type="pct"/>
          </w:tcPr>
          <w:p w14:paraId="5375934B" w14:textId="77777777" w:rsidR="009A226D" w:rsidRPr="00E54537" w:rsidRDefault="009A226D" w:rsidP="009A226D">
            <w:pPr>
              <w:pStyle w:val="MDPI42tablebody"/>
              <w:numPr>
                <w:ilvl w:val="0"/>
                <w:numId w:val="41"/>
              </w:numPr>
              <w:ind w:left="113" w:hanging="113"/>
              <w:jc w:val="left"/>
              <w:rPr>
                <w:sz w:val="16"/>
                <w:szCs w:val="16"/>
              </w:rPr>
            </w:pPr>
            <w:r w:rsidRPr="00E54537">
              <w:rPr>
                <w:sz w:val="16"/>
                <w:szCs w:val="16"/>
              </w:rPr>
              <w:t>Positive SARS-CoV-2 tests results</w:t>
            </w:r>
          </w:p>
          <w:p w14:paraId="2A6E84BD" w14:textId="60A07684" w:rsidR="009A226D" w:rsidRPr="00E54537" w:rsidRDefault="009A226D" w:rsidP="009A226D">
            <w:pPr>
              <w:pStyle w:val="MDPI42tablebody"/>
              <w:numPr>
                <w:ilvl w:val="0"/>
                <w:numId w:val="41"/>
              </w:numPr>
              <w:ind w:left="113" w:hanging="113"/>
              <w:jc w:val="left"/>
              <w:rPr>
                <w:sz w:val="16"/>
                <w:szCs w:val="16"/>
              </w:rPr>
            </w:pPr>
            <w:r w:rsidRPr="00E54537">
              <w:rPr>
                <w:sz w:val="16"/>
                <w:szCs w:val="16"/>
              </w:rPr>
              <w:t>Negative SARS-CoV-2 test results</w:t>
            </w:r>
          </w:p>
        </w:tc>
        <w:tc>
          <w:tcPr>
            <w:tcW w:w="555" w:type="pct"/>
          </w:tcPr>
          <w:p w14:paraId="6CE70659" w14:textId="06EF90BB" w:rsidR="009A226D" w:rsidRPr="00E54537" w:rsidRDefault="009A226D" w:rsidP="009A226D">
            <w:pPr>
              <w:pStyle w:val="MDPI42tablebody"/>
              <w:jc w:val="left"/>
              <w:rPr>
                <w:sz w:val="16"/>
                <w:szCs w:val="16"/>
              </w:rPr>
            </w:pPr>
            <w:r w:rsidRPr="00E54537">
              <w:rPr>
                <w:sz w:val="16"/>
                <w:szCs w:val="16"/>
              </w:rPr>
              <w:t>Mean 240 days</w:t>
            </w:r>
          </w:p>
        </w:tc>
        <w:tc>
          <w:tcPr>
            <w:tcW w:w="2765" w:type="pct"/>
          </w:tcPr>
          <w:p w14:paraId="75EB6D4E" w14:textId="18EB6182" w:rsidR="009A226D" w:rsidRPr="00E54537" w:rsidRDefault="009A226D" w:rsidP="009A226D">
            <w:pPr>
              <w:pStyle w:val="MDPI42tablebody"/>
              <w:jc w:val="left"/>
              <w:rPr>
                <w:sz w:val="16"/>
                <w:szCs w:val="16"/>
              </w:rPr>
            </w:pPr>
            <w:r w:rsidRPr="00E54537">
              <w:rPr>
                <w:sz w:val="16"/>
                <w:szCs w:val="16"/>
              </w:rPr>
              <w:t xml:space="preserve">Patients with SARS-CoV-2 infection had </w:t>
            </w:r>
            <w:r w:rsidR="00E96D8E" w:rsidRPr="00E54537">
              <w:rPr>
                <w:sz w:val="16"/>
                <w:szCs w:val="16"/>
              </w:rPr>
              <w:t>7.41</w:t>
            </w:r>
            <w:r w:rsidRPr="00E54537">
              <w:rPr>
                <w:sz w:val="16"/>
                <w:szCs w:val="16"/>
              </w:rPr>
              <w:t xml:space="preserve"> additional </w:t>
            </w:r>
            <w:r w:rsidR="00E96D8E" w:rsidRPr="00E54537">
              <w:rPr>
                <w:sz w:val="16"/>
                <w:szCs w:val="16"/>
              </w:rPr>
              <w:t>days hospitalized</w:t>
            </w:r>
            <w:r w:rsidRPr="00E54537">
              <w:rPr>
                <w:sz w:val="16"/>
                <w:szCs w:val="16"/>
              </w:rPr>
              <w:t xml:space="preserve"> at the 99th percentile of the per-person-year rate compared with patients with negative SARS-CoV-2 test results. Rate ratios for the test-positive vs. test-negative comparison were statistically significant (rate ratio </w:t>
            </w:r>
            <w:r w:rsidR="00E96D8E" w:rsidRPr="00E54537">
              <w:rPr>
                <w:sz w:val="16"/>
                <w:szCs w:val="16"/>
              </w:rPr>
              <w:t>1.50</w:t>
            </w:r>
            <w:r w:rsidR="00852A6C" w:rsidRPr="00E54537">
              <w:rPr>
                <w:sz w:val="16"/>
                <w:szCs w:val="16"/>
              </w:rPr>
              <w:t>, 95%CI: 1.42-1.58</w:t>
            </w:r>
            <w:r w:rsidRPr="00E54537">
              <w:rPr>
                <w:sz w:val="16"/>
                <w:szCs w:val="16"/>
              </w:rPr>
              <w:t>).</w:t>
            </w:r>
          </w:p>
        </w:tc>
      </w:tr>
      <w:tr w:rsidR="006339D7" w:rsidRPr="00E54537" w14:paraId="18C19462" w14:textId="77777777" w:rsidTr="00C62F56">
        <w:trPr>
          <w:trHeight w:val="373"/>
          <w:jc w:val="right"/>
        </w:trPr>
        <w:tc>
          <w:tcPr>
            <w:tcW w:w="549" w:type="pct"/>
          </w:tcPr>
          <w:p w14:paraId="0B4D6069" w14:textId="0E580F25" w:rsidR="006339D7" w:rsidRPr="00E54537" w:rsidRDefault="006339D7" w:rsidP="006339D7">
            <w:pPr>
              <w:pStyle w:val="MDPI42tablebody"/>
              <w:jc w:val="left"/>
              <w:rPr>
                <w:sz w:val="16"/>
                <w:szCs w:val="16"/>
              </w:rPr>
            </w:pPr>
            <w:r w:rsidRPr="00E54537">
              <w:rPr>
                <w:sz w:val="16"/>
                <w:szCs w:val="16"/>
              </w:rPr>
              <w:t>Castriotta 2023</w:t>
            </w:r>
          </w:p>
        </w:tc>
        <w:tc>
          <w:tcPr>
            <w:tcW w:w="1131" w:type="pct"/>
          </w:tcPr>
          <w:p w14:paraId="473D750A" w14:textId="77777777" w:rsidR="006339D7" w:rsidRPr="00E54537" w:rsidRDefault="006339D7" w:rsidP="006339D7">
            <w:pPr>
              <w:pStyle w:val="MDPI42tablebody"/>
              <w:numPr>
                <w:ilvl w:val="0"/>
                <w:numId w:val="41"/>
              </w:numPr>
              <w:ind w:left="113" w:hanging="113"/>
              <w:jc w:val="left"/>
              <w:rPr>
                <w:sz w:val="16"/>
                <w:szCs w:val="16"/>
              </w:rPr>
            </w:pPr>
            <w:r w:rsidRPr="00E54537">
              <w:rPr>
                <w:sz w:val="16"/>
                <w:szCs w:val="16"/>
              </w:rPr>
              <w:t>COVID-19</w:t>
            </w:r>
          </w:p>
          <w:p w14:paraId="32785C6F" w14:textId="1BBFE677" w:rsidR="006339D7" w:rsidRPr="00E54537" w:rsidRDefault="006339D7" w:rsidP="006339D7">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4E7EE251" w14:textId="5053A4DF" w:rsidR="006339D7" w:rsidRPr="00E54537" w:rsidRDefault="006339D7" w:rsidP="006339D7">
            <w:pPr>
              <w:pStyle w:val="MDPI42tablebody"/>
              <w:jc w:val="left"/>
              <w:rPr>
                <w:sz w:val="16"/>
                <w:szCs w:val="16"/>
              </w:rPr>
            </w:pPr>
            <w:r w:rsidRPr="00E54537">
              <w:rPr>
                <w:sz w:val="16"/>
                <w:szCs w:val="16"/>
              </w:rPr>
              <w:t>6 months</w:t>
            </w:r>
          </w:p>
        </w:tc>
        <w:tc>
          <w:tcPr>
            <w:tcW w:w="2765" w:type="pct"/>
          </w:tcPr>
          <w:p w14:paraId="74BD2F04" w14:textId="677785DC" w:rsidR="006339D7" w:rsidRPr="00E54537" w:rsidRDefault="00A80737" w:rsidP="00A80737">
            <w:pPr>
              <w:pStyle w:val="MDPI42tablebody"/>
              <w:jc w:val="both"/>
              <w:rPr>
                <w:sz w:val="16"/>
                <w:szCs w:val="16"/>
              </w:rPr>
            </w:pPr>
            <w:r w:rsidRPr="00E54537">
              <w:rPr>
                <w:sz w:val="16"/>
                <w:szCs w:val="16"/>
              </w:rPr>
              <w:t xml:space="preserve">Exposed (vs. unexposed) individuals were more likely to be admitted to the hospital </w:t>
            </w:r>
            <w:r w:rsidR="00D52771" w:rsidRPr="00E54537">
              <w:rPr>
                <w:sz w:val="16"/>
                <w:szCs w:val="16"/>
              </w:rPr>
              <w:t>(</w:t>
            </w:r>
            <w:r w:rsidRPr="00E54537">
              <w:rPr>
                <w:sz w:val="16"/>
                <w:szCs w:val="16"/>
              </w:rPr>
              <w:t>overall pooled IRR</w:t>
            </w:r>
            <w:r w:rsidR="007E30D5" w:rsidRPr="00E54537">
              <w:rPr>
                <w:sz w:val="16"/>
                <w:szCs w:val="16"/>
              </w:rPr>
              <w:t>=</w:t>
            </w:r>
            <w:r w:rsidRPr="00E54537">
              <w:rPr>
                <w:sz w:val="16"/>
                <w:szCs w:val="16"/>
              </w:rPr>
              <w:t>1.98</w:t>
            </w:r>
            <w:r w:rsidR="007E30D5" w:rsidRPr="00E54537">
              <w:rPr>
                <w:sz w:val="16"/>
                <w:szCs w:val="16"/>
              </w:rPr>
              <w:t>,</w:t>
            </w:r>
            <w:r w:rsidRPr="00E54537">
              <w:rPr>
                <w:sz w:val="16"/>
                <w:szCs w:val="16"/>
              </w:rPr>
              <w:t xml:space="preserve"> 95%CI 1.66-2.36</w:t>
            </w:r>
            <w:r w:rsidR="00D52771" w:rsidRPr="00E54537">
              <w:rPr>
                <w:sz w:val="16"/>
                <w:szCs w:val="16"/>
              </w:rPr>
              <w:t>)</w:t>
            </w:r>
            <w:r w:rsidRPr="00E54537">
              <w:rPr>
                <w:sz w:val="16"/>
                <w:szCs w:val="16"/>
              </w:rPr>
              <w:t xml:space="preserve">, particularly those </w:t>
            </w:r>
            <w:r w:rsidR="004C4B24" w:rsidRPr="00E54537">
              <w:rPr>
                <w:sz w:val="16"/>
                <w:szCs w:val="16"/>
              </w:rPr>
              <w:t>hospitalized</w:t>
            </w:r>
            <w:r w:rsidRPr="00E54537">
              <w:rPr>
                <w:sz w:val="16"/>
                <w:szCs w:val="16"/>
              </w:rPr>
              <w:t xml:space="preserve"> and admitted to the ICU during acute infection, with small variations across epidemic phases.</w:t>
            </w:r>
          </w:p>
        </w:tc>
      </w:tr>
      <w:tr w:rsidR="006339D7" w:rsidRPr="00E54537" w14:paraId="2A440021" w14:textId="77777777" w:rsidTr="00C62F56">
        <w:trPr>
          <w:trHeight w:val="373"/>
          <w:jc w:val="right"/>
        </w:trPr>
        <w:tc>
          <w:tcPr>
            <w:tcW w:w="549" w:type="pct"/>
          </w:tcPr>
          <w:p w14:paraId="606F2E33" w14:textId="3A6777DA" w:rsidR="006339D7" w:rsidRPr="00E54537" w:rsidRDefault="006339D7" w:rsidP="006339D7">
            <w:pPr>
              <w:pStyle w:val="MDPI42tablebody"/>
              <w:jc w:val="left"/>
              <w:rPr>
                <w:sz w:val="16"/>
                <w:szCs w:val="16"/>
              </w:rPr>
            </w:pPr>
            <w:r w:rsidRPr="00E54537">
              <w:rPr>
                <w:sz w:val="16"/>
                <w:szCs w:val="16"/>
              </w:rPr>
              <w:t>Lo 2023</w:t>
            </w:r>
          </w:p>
        </w:tc>
        <w:tc>
          <w:tcPr>
            <w:tcW w:w="1131" w:type="pct"/>
          </w:tcPr>
          <w:p w14:paraId="1A5730C9" w14:textId="77777777" w:rsidR="00193256" w:rsidRPr="00E54537" w:rsidRDefault="00193256" w:rsidP="00193256">
            <w:pPr>
              <w:pStyle w:val="MDPI42tablebody"/>
              <w:numPr>
                <w:ilvl w:val="0"/>
                <w:numId w:val="41"/>
              </w:numPr>
              <w:ind w:left="113" w:hanging="113"/>
              <w:jc w:val="left"/>
              <w:rPr>
                <w:sz w:val="16"/>
                <w:szCs w:val="16"/>
              </w:rPr>
            </w:pPr>
            <w:r w:rsidRPr="00E54537">
              <w:rPr>
                <w:sz w:val="16"/>
                <w:szCs w:val="16"/>
              </w:rPr>
              <w:t>COVID-19</w:t>
            </w:r>
          </w:p>
          <w:p w14:paraId="244C575C" w14:textId="1DF749B1" w:rsidR="006339D7" w:rsidRPr="00E54537" w:rsidRDefault="00193256" w:rsidP="00193256">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1FC02F6D" w14:textId="5B165447" w:rsidR="006339D7" w:rsidRPr="00E54537" w:rsidRDefault="007A2463" w:rsidP="006339D7">
            <w:pPr>
              <w:pStyle w:val="MDPI42tablebody"/>
              <w:jc w:val="left"/>
              <w:rPr>
                <w:sz w:val="16"/>
                <w:szCs w:val="16"/>
              </w:rPr>
            </w:pPr>
            <w:r w:rsidRPr="00E54537">
              <w:rPr>
                <w:sz w:val="16"/>
                <w:szCs w:val="16"/>
              </w:rPr>
              <w:t>Up to 13 months</w:t>
            </w:r>
          </w:p>
        </w:tc>
        <w:tc>
          <w:tcPr>
            <w:tcW w:w="2765" w:type="pct"/>
          </w:tcPr>
          <w:p w14:paraId="2AE83B9F" w14:textId="7F054BAD" w:rsidR="006339D7" w:rsidRPr="00E54537" w:rsidRDefault="00193256" w:rsidP="006339D7">
            <w:pPr>
              <w:pStyle w:val="MDPI42tablebody"/>
              <w:jc w:val="left"/>
              <w:rPr>
                <w:sz w:val="16"/>
                <w:szCs w:val="16"/>
              </w:rPr>
            </w:pPr>
            <w:r w:rsidRPr="00E54537">
              <w:rPr>
                <w:sz w:val="16"/>
                <w:szCs w:val="16"/>
              </w:rPr>
              <w:t xml:space="preserve">A higher percentage of patients who were </w:t>
            </w:r>
            <w:r w:rsidR="004C4B24" w:rsidRPr="00E54537">
              <w:rPr>
                <w:sz w:val="16"/>
                <w:szCs w:val="16"/>
              </w:rPr>
              <w:t>hospitalized</w:t>
            </w:r>
            <w:r w:rsidRPr="00E54537">
              <w:rPr>
                <w:sz w:val="16"/>
                <w:szCs w:val="16"/>
              </w:rPr>
              <w:t xml:space="preserve"> during their acute phase of COVID-19 needed readmission to the hospital during the follow-up period compared with matched controls without COVID-19 diagnosis.</w:t>
            </w:r>
            <w:r w:rsidR="008A707A" w:rsidRPr="00E54537">
              <w:rPr>
                <w:sz w:val="16"/>
                <w:szCs w:val="16"/>
              </w:rPr>
              <w:t xml:space="preserve"> The difference between </w:t>
            </w:r>
            <w:r w:rsidR="00771708" w:rsidRPr="00E54537">
              <w:rPr>
                <w:sz w:val="16"/>
                <w:szCs w:val="16"/>
              </w:rPr>
              <w:t>patients</w:t>
            </w:r>
            <w:r w:rsidR="008A387E" w:rsidRPr="00E54537">
              <w:rPr>
                <w:sz w:val="16"/>
                <w:szCs w:val="16"/>
              </w:rPr>
              <w:t xml:space="preserve"> with COVID-19 and matched control was statistically significant up to 180 days after </w:t>
            </w:r>
            <w:r w:rsidR="00771708" w:rsidRPr="00E54537">
              <w:rPr>
                <w:sz w:val="16"/>
                <w:szCs w:val="16"/>
              </w:rPr>
              <w:t>the index date.</w:t>
            </w:r>
            <w:r w:rsidR="008A387E" w:rsidRPr="00E54537">
              <w:rPr>
                <w:sz w:val="16"/>
                <w:szCs w:val="16"/>
              </w:rPr>
              <w:t xml:space="preserve"> </w:t>
            </w:r>
          </w:p>
        </w:tc>
      </w:tr>
      <w:tr w:rsidR="006339D7" w:rsidRPr="00E54537" w14:paraId="3EA733A6" w14:textId="77777777" w:rsidTr="00C62F56">
        <w:trPr>
          <w:trHeight w:val="373"/>
          <w:jc w:val="right"/>
        </w:trPr>
        <w:tc>
          <w:tcPr>
            <w:tcW w:w="549" w:type="pct"/>
          </w:tcPr>
          <w:p w14:paraId="164C3721" w14:textId="71C2FFFB" w:rsidR="006339D7" w:rsidRPr="00E54537" w:rsidRDefault="006339D7" w:rsidP="006339D7">
            <w:pPr>
              <w:pStyle w:val="MDPI42tablebody"/>
              <w:jc w:val="left"/>
              <w:rPr>
                <w:sz w:val="16"/>
                <w:szCs w:val="16"/>
              </w:rPr>
            </w:pPr>
            <w:r w:rsidRPr="00E54537">
              <w:rPr>
                <w:sz w:val="16"/>
                <w:szCs w:val="16"/>
              </w:rPr>
              <w:t>Ayoubkhani 2021</w:t>
            </w:r>
          </w:p>
        </w:tc>
        <w:tc>
          <w:tcPr>
            <w:tcW w:w="1131" w:type="pct"/>
          </w:tcPr>
          <w:p w14:paraId="062B06AE" w14:textId="77777777" w:rsidR="004B6395" w:rsidRPr="00E54537" w:rsidRDefault="004B6395" w:rsidP="004B6395">
            <w:pPr>
              <w:pStyle w:val="MDPI42tablebody"/>
              <w:numPr>
                <w:ilvl w:val="0"/>
                <w:numId w:val="41"/>
              </w:numPr>
              <w:ind w:left="113" w:hanging="113"/>
              <w:jc w:val="left"/>
              <w:rPr>
                <w:sz w:val="16"/>
                <w:szCs w:val="16"/>
              </w:rPr>
            </w:pPr>
            <w:r w:rsidRPr="00E54537">
              <w:rPr>
                <w:sz w:val="16"/>
                <w:szCs w:val="16"/>
              </w:rPr>
              <w:t>COVID-19</w:t>
            </w:r>
          </w:p>
          <w:p w14:paraId="04EBB899" w14:textId="557F033B" w:rsidR="006339D7" w:rsidRPr="00E54537" w:rsidRDefault="00E92A4C" w:rsidP="004B6395">
            <w:pPr>
              <w:pStyle w:val="MDPI42tablebody"/>
              <w:numPr>
                <w:ilvl w:val="0"/>
                <w:numId w:val="41"/>
              </w:numPr>
              <w:ind w:left="113" w:hanging="113"/>
              <w:jc w:val="left"/>
              <w:rPr>
                <w:sz w:val="16"/>
                <w:szCs w:val="16"/>
              </w:rPr>
            </w:pPr>
            <w:r w:rsidRPr="00E54537">
              <w:rPr>
                <w:sz w:val="16"/>
                <w:szCs w:val="16"/>
              </w:rPr>
              <w:t>General population</w:t>
            </w:r>
          </w:p>
        </w:tc>
        <w:tc>
          <w:tcPr>
            <w:tcW w:w="555" w:type="pct"/>
          </w:tcPr>
          <w:p w14:paraId="62157443" w14:textId="332F8D3E" w:rsidR="006339D7" w:rsidRPr="00E54537" w:rsidRDefault="004B6395" w:rsidP="006339D7">
            <w:pPr>
              <w:pStyle w:val="MDPI42tablebody"/>
              <w:jc w:val="left"/>
              <w:rPr>
                <w:sz w:val="16"/>
                <w:szCs w:val="16"/>
              </w:rPr>
            </w:pPr>
            <w:r w:rsidRPr="00E54537">
              <w:rPr>
                <w:sz w:val="16"/>
                <w:szCs w:val="16"/>
              </w:rPr>
              <w:t xml:space="preserve">Mean </w:t>
            </w:r>
            <w:r w:rsidR="005A1F99" w:rsidRPr="00E54537">
              <w:rPr>
                <w:sz w:val="16"/>
                <w:szCs w:val="16"/>
              </w:rPr>
              <w:t>140 and 153 day</w:t>
            </w:r>
            <w:r w:rsidR="00D64112" w:rsidRPr="00E54537">
              <w:rPr>
                <w:sz w:val="16"/>
                <w:szCs w:val="16"/>
              </w:rPr>
              <w:t>s for COVID-19 and controls, respectively</w:t>
            </w:r>
          </w:p>
        </w:tc>
        <w:tc>
          <w:tcPr>
            <w:tcW w:w="2765" w:type="pct"/>
          </w:tcPr>
          <w:p w14:paraId="6C1A0E65" w14:textId="69CBCB18" w:rsidR="006339D7" w:rsidRPr="00E54537" w:rsidRDefault="00C02532" w:rsidP="00C02532">
            <w:pPr>
              <w:pStyle w:val="MDPI42tablebody"/>
              <w:jc w:val="both"/>
              <w:rPr>
                <w:sz w:val="16"/>
                <w:szCs w:val="16"/>
              </w:rPr>
            </w:pPr>
            <w:r w:rsidRPr="00E54537">
              <w:rPr>
                <w:sz w:val="16"/>
                <w:szCs w:val="16"/>
              </w:rPr>
              <w:t xml:space="preserve">Of 47 780 individuals in hospital with </w:t>
            </w:r>
            <w:r w:rsidR="008B6AEC" w:rsidRPr="00E54537">
              <w:rPr>
                <w:sz w:val="16"/>
                <w:szCs w:val="16"/>
              </w:rPr>
              <w:t>COVID-19</w:t>
            </w:r>
            <w:r w:rsidRPr="00E54537">
              <w:rPr>
                <w:sz w:val="16"/>
                <w:szCs w:val="16"/>
              </w:rPr>
              <w:t xml:space="preserve"> over the study period, 29.4% were readmitted. These events occurred at rates of 766 (95%</w:t>
            </w:r>
            <w:r w:rsidR="008B6AEC" w:rsidRPr="00E54537">
              <w:rPr>
                <w:sz w:val="16"/>
                <w:szCs w:val="16"/>
              </w:rPr>
              <w:t>CI:</w:t>
            </w:r>
            <w:r w:rsidRPr="00E54537">
              <w:rPr>
                <w:sz w:val="16"/>
                <w:szCs w:val="16"/>
              </w:rPr>
              <w:t xml:space="preserve"> 753</w:t>
            </w:r>
            <w:r w:rsidR="008B6AEC" w:rsidRPr="00E54537">
              <w:rPr>
                <w:sz w:val="16"/>
                <w:szCs w:val="16"/>
              </w:rPr>
              <w:t>-</w:t>
            </w:r>
            <w:r w:rsidRPr="00E54537">
              <w:rPr>
                <w:sz w:val="16"/>
                <w:szCs w:val="16"/>
              </w:rPr>
              <w:t xml:space="preserve">779) per 1000 </w:t>
            </w:r>
            <w:r w:rsidR="008B6AEC" w:rsidRPr="00E54537">
              <w:rPr>
                <w:sz w:val="16"/>
                <w:szCs w:val="16"/>
              </w:rPr>
              <w:t>person-years</w:t>
            </w:r>
            <w:r w:rsidRPr="00E54537">
              <w:rPr>
                <w:sz w:val="16"/>
                <w:szCs w:val="16"/>
              </w:rPr>
              <w:t>, which were 3.5 (3.4 to 3.6) times greater</w:t>
            </w:r>
            <w:r w:rsidR="008B6AEC" w:rsidRPr="00E54537">
              <w:rPr>
                <w:sz w:val="16"/>
                <w:szCs w:val="16"/>
              </w:rPr>
              <w:t xml:space="preserve"> </w:t>
            </w:r>
            <w:r w:rsidRPr="00E54537">
              <w:rPr>
                <w:sz w:val="16"/>
                <w:szCs w:val="16"/>
              </w:rPr>
              <w:t xml:space="preserve">than those in matched controls. </w:t>
            </w:r>
          </w:p>
        </w:tc>
      </w:tr>
      <w:tr w:rsidR="006339D7" w:rsidRPr="00E54537" w14:paraId="153B82CD" w14:textId="77777777" w:rsidTr="00C62F56">
        <w:trPr>
          <w:trHeight w:val="373"/>
          <w:jc w:val="right"/>
        </w:trPr>
        <w:tc>
          <w:tcPr>
            <w:tcW w:w="549" w:type="pct"/>
          </w:tcPr>
          <w:p w14:paraId="74580561" w14:textId="4079BE80" w:rsidR="006339D7" w:rsidRPr="00E54537" w:rsidRDefault="006339D7" w:rsidP="006339D7">
            <w:pPr>
              <w:pStyle w:val="MDPI42tablebody"/>
              <w:jc w:val="left"/>
              <w:rPr>
                <w:sz w:val="16"/>
                <w:szCs w:val="16"/>
              </w:rPr>
            </w:pPr>
            <w:r w:rsidRPr="00E54537">
              <w:rPr>
                <w:sz w:val="16"/>
                <w:szCs w:val="16"/>
              </w:rPr>
              <w:t>Tisler 2022</w:t>
            </w:r>
          </w:p>
        </w:tc>
        <w:tc>
          <w:tcPr>
            <w:tcW w:w="1131" w:type="pct"/>
          </w:tcPr>
          <w:p w14:paraId="407AF7AA" w14:textId="77777777" w:rsidR="006339D7" w:rsidRPr="00E54537" w:rsidRDefault="001E5724" w:rsidP="006339D7">
            <w:pPr>
              <w:pStyle w:val="MDPI42tablebody"/>
              <w:numPr>
                <w:ilvl w:val="0"/>
                <w:numId w:val="41"/>
              </w:numPr>
              <w:ind w:left="113" w:hanging="113"/>
              <w:jc w:val="left"/>
              <w:rPr>
                <w:sz w:val="16"/>
                <w:szCs w:val="16"/>
              </w:rPr>
            </w:pPr>
            <w:r w:rsidRPr="00E54537">
              <w:rPr>
                <w:sz w:val="16"/>
                <w:szCs w:val="16"/>
              </w:rPr>
              <w:t>COVID-19 patients</w:t>
            </w:r>
            <w:r w:rsidR="006A77C8" w:rsidRPr="00E54537">
              <w:rPr>
                <w:sz w:val="16"/>
                <w:szCs w:val="16"/>
              </w:rPr>
              <w:t xml:space="preserve"> (hospitalized)</w:t>
            </w:r>
          </w:p>
          <w:p w14:paraId="6FD3445F" w14:textId="487C1A23" w:rsidR="00BD5422" w:rsidRPr="00E54537" w:rsidRDefault="00BD5422" w:rsidP="006339D7">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16F2E8ED" w14:textId="6DE9A351" w:rsidR="006339D7" w:rsidRPr="00E54537" w:rsidRDefault="000D3A67" w:rsidP="006339D7">
            <w:pPr>
              <w:pStyle w:val="MDPI42tablebody"/>
              <w:jc w:val="left"/>
              <w:rPr>
                <w:sz w:val="16"/>
                <w:szCs w:val="16"/>
              </w:rPr>
            </w:pPr>
            <w:r w:rsidRPr="00E54537">
              <w:rPr>
                <w:sz w:val="16"/>
                <w:szCs w:val="16"/>
              </w:rPr>
              <w:t>12 months</w:t>
            </w:r>
          </w:p>
        </w:tc>
        <w:tc>
          <w:tcPr>
            <w:tcW w:w="2765" w:type="pct"/>
          </w:tcPr>
          <w:p w14:paraId="7FDE7BAC" w14:textId="1359368E" w:rsidR="006339D7" w:rsidRPr="00E54537" w:rsidRDefault="008C692D" w:rsidP="006339D7">
            <w:pPr>
              <w:pStyle w:val="MDPI42tablebody"/>
              <w:jc w:val="left"/>
              <w:rPr>
                <w:sz w:val="16"/>
                <w:szCs w:val="16"/>
              </w:rPr>
            </w:pPr>
            <w:r w:rsidRPr="00E54537">
              <w:rPr>
                <w:sz w:val="16"/>
                <w:szCs w:val="16"/>
              </w:rPr>
              <w:t xml:space="preserve">Among previously </w:t>
            </w:r>
            <w:r w:rsidR="004C4B24" w:rsidRPr="00E54537">
              <w:rPr>
                <w:sz w:val="16"/>
                <w:szCs w:val="16"/>
              </w:rPr>
              <w:t>hospitalized</w:t>
            </w:r>
            <w:r w:rsidRPr="00E54537">
              <w:rPr>
                <w:sz w:val="16"/>
                <w:szCs w:val="16"/>
              </w:rPr>
              <w:t xml:space="preserve"> patients, the hospital readmission rate was 2.1 times greater in patients initially </w:t>
            </w:r>
            <w:r w:rsidR="004C4B24" w:rsidRPr="00E54537">
              <w:rPr>
                <w:sz w:val="16"/>
                <w:szCs w:val="16"/>
              </w:rPr>
              <w:t>hospitalized</w:t>
            </w:r>
            <w:r w:rsidRPr="00E54537">
              <w:rPr>
                <w:sz w:val="16"/>
                <w:szCs w:val="16"/>
              </w:rPr>
              <w:t xml:space="preserve"> for COVID-19, compared with patients without COVID-19, during a mean </w:t>
            </w:r>
            <w:r w:rsidR="00EC7B4D" w:rsidRPr="00E54537">
              <w:rPr>
                <w:sz w:val="16"/>
                <w:szCs w:val="16"/>
              </w:rPr>
              <w:t>follow-up</w:t>
            </w:r>
            <w:r w:rsidRPr="00E54537">
              <w:rPr>
                <w:sz w:val="16"/>
                <w:szCs w:val="16"/>
              </w:rPr>
              <w:t xml:space="preserve"> of 10</w:t>
            </w:r>
            <w:r w:rsidR="00700485" w:rsidRPr="00E54537">
              <w:rPr>
                <w:sz w:val="16"/>
                <w:szCs w:val="16"/>
              </w:rPr>
              <w:t xml:space="preserve"> (rate per 1000 pe</w:t>
            </w:r>
            <w:r w:rsidR="00EC7B4D" w:rsidRPr="00E54537">
              <w:rPr>
                <w:sz w:val="16"/>
                <w:szCs w:val="16"/>
              </w:rPr>
              <w:t>rson-years was 315.4 and 148.3 for COVID-19 patients and control, respectively)</w:t>
            </w:r>
          </w:p>
        </w:tc>
      </w:tr>
      <w:tr w:rsidR="0026336B" w:rsidRPr="00E54537" w14:paraId="5961DBD4" w14:textId="77777777" w:rsidTr="00C62F56">
        <w:trPr>
          <w:trHeight w:val="373"/>
          <w:jc w:val="right"/>
        </w:trPr>
        <w:tc>
          <w:tcPr>
            <w:tcW w:w="549" w:type="pct"/>
          </w:tcPr>
          <w:p w14:paraId="29C9399C" w14:textId="132B78C0" w:rsidR="0026336B" w:rsidRPr="00E54537" w:rsidRDefault="0026336B" w:rsidP="0026336B">
            <w:pPr>
              <w:pStyle w:val="MDPI42tablebody"/>
              <w:jc w:val="left"/>
              <w:rPr>
                <w:sz w:val="16"/>
                <w:szCs w:val="16"/>
              </w:rPr>
            </w:pPr>
            <w:r w:rsidRPr="00E54537">
              <w:rPr>
                <w:sz w:val="16"/>
                <w:szCs w:val="16"/>
              </w:rPr>
              <w:t>Gordon 2023</w:t>
            </w:r>
          </w:p>
        </w:tc>
        <w:tc>
          <w:tcPr>
            <w:tcW w:w="1131" w:type="pct"/>
          </w:tcPr>
          <w:p w14:paraId="05C42995"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COVID-19</w:t>
            </w:r>
          </w:p>
          <w:p w14:paraId="27B3DBCE" w14:textId="517BE5B6" w:rsidR="0026336B" w:rsidRPr="00E54537" w:rsidRDefault="0026336B" w:rsidP="0026336B">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3A044846" w14:textId="192853E2" w:rsidR="0026336B" w:rsidRPr="00E54537" w:rsidRDefault="0026336B" w:rsidP="0026336B">
            <w:pPr>
              <w:pStyle w:val="MDPI42tablebody"/>
              <w:jc w:val="left"/>
              <w:rPr>
                <w:sz w:val="16"/>
                <w:szCs w:val="16"/>
              </w:rPr>
            </w:pPr>
            <w:r w:rsidRPr="00E54537">
              <w:rPr>
                <w:sz w:val="16"/>
                <w:szCs w:val="16"/>
              </w:rPr>
              <w:t>3-6 months after infection</w:t>
            </w:r>
          </w:p>
        </w:tc>
        <w:tc>
          <w:tcPr>
            <w:tcW w:w="2765" w:type="pct"/>
          </w:tcPr>
          <w:p w14:paraId="5155887C" w14:textId="57B7C3F2" w:rsidR="0026336B" w:rsidRPr="00E54537" w:rsidRDefault="00BB219C" w:rsidP="0026336B">
            <w:pPr>
              <w:pStyle w:val="MDPI42tablebody"/>
              <w:jc w:val="both"/>
              <w:rPr>
                <w:sz w:val="16"/>
                <w:szCs w:val="16"/>
              </w:rPr>
            </w:pPr>
            <w:r w:rsidRPr="00E54537">
              <w:rPr>
                <w:sz w:val="16"/>
                <w:szCs w:val="16"/>
              </w:rPr>
              <w:t xml:space="preserve">In a US </w:t>
            </w:r>
            <w:r w:rsidR="004C4B24" w:rsidRPr="00E54537">
              <w:rPr>
                <w:sz w:val="16"/>
                <w:szCs w:val="16"/>
              </w:rPr>
              <w:t>pediatric</w:t>
            </w:r>
            <w:r w:rsidRPr="00E54537">
              <w:rPr>
                <w:sz w:val="16"/>
                <w:szCs w:val="16"/>
              </w:rPr>
              <w:t xml:space="preserve"> cohort study, </w:t>
            </w:r>
            <w:r w:rsidR="0026336B" w:rsidRPr="00E54537">
              <w:rPr>
                <w:sz w:val="16"/>
                <w:szCs w:val="16"/>
              </w:rPr>
              <w:t xml:space="preserve">inpatient </w:t>
            </w:r>
            <w:r w:rsidR="004C4B24" w:rsidRPr="00E54537">
              <w:rPr>
                <w:sz w:val="16"/>
                <w:szCs w:val="16"/>
              </w:rPr>
              <w:t>hospitalization</w:t>
            </w:r>
            <w:r w:rsidR="0026336B" w:rsidRPr="00E54537">
              <w:rPr>
                <w:sz w:val="16"/>
                <w:szCs w:val="16"/>
              </w:rPr>
              <w:t xml:space="preserve"> was slightly less common among the COVID-19 group (RD = 0.94, p = 0.158) in the 3–6-month period after the diagnosis. </w:t>
            </w:r>
          </w:p>
        </w:tc>
      </w:tr>
      <w:tr w:rsidR="0026336B" w:rsidRPr="00E54537" w14:paraId="44F6A4B3" w14:textId="77777777" w:rsidTr="00657334">
        <w:trPr>
          <w:trHeight w:val="373"/>
          <w:jc w:val="right"/>
        </w:trPr>
        <w:tc>
          <w:tcPr>
            <w:tcW w:w="5000" w:type="pct"/>
            <w:gridSpan w:val="4"/>
            <w:shd w:val="clear" w:color="auto" w:fill="D9D9D9" w:themeFill="background1" w:themeFillShade="D9"/>
          </w:tcPr>
          <w:p w14:paraId="68A2B495" w14:textId="77777777" w:rsidR="0026336B" w:rsidRPr="00E54537" w:rsidRDefault="0026336B" w:rsidP="0026336B">
            <w:pPr>
              <w:pStyle w:val="MDPI42tablebody"/>
              <w:jc w:val="left"/>
              <w:rPr>
                <w:b/>
                <w:bCs/>
                <w:sz w:val="16"/>
                <w:szCs w:val="16"/>
              </w:rPr>
            </w:pPr>
            <w:r w:rsidRPr="00E54537">
              <w:rPr>
                <w:b/>
                <w:bCs/>
                <w:sz w:val="16"/>
                <w:szCs w:val="16"/>
              </w:rPr>
              <w:t>Outpatient and Emergency Services</w:t>
            </w:r>
          </w:p>
        </w:tc>
      </w:tr>
      <w:tr w:rsidR="0026336B" w:rsidRPr="00E54537" w14:paraId="4685C45D" w14:textId="77777777" w:rsidTr="00657334">
        <w:trPr>
          <w:trHeight w:val="373"/>
          <w:jc w:val="right"/>
        </w:trPr>
        <w:tc>
          <w:tcPr>
            <w:tcW w:w="5000" w:type="pct"/>
            <w:gridSpan w:val="4"/>
          </w:tcPr>
          <w:p w14:paraId="4431D359" w14:textId="6311B445" w:rsidR="0026336B" w:rsidRPr="00E54537" w:rsidRDefault="0026336B" w:rsidP="0026336B">
            <w:pPr>
              <w:pStyle w:val="MDPI42tablebody"/>
              <w:jc w:val="left"/>
              <w:rPr>
                <w:sz w:val="16"/>
                <w:szCs w:val="16"/>
              </w:rPr>
            </w:pPr>
            <w:r w:rsidRPr="00E54537">
              <w:rPr>
                <w:b/>
                <w:bCs/>
                <w:sz w:val="16"/>
                <w:szCs w:val="16"/>
              </w:rPr>
              <w:t>Long COVID</w:t>
            </w:r>
          </w:p>
        </w:tc>
      </w:tr>
      <w:tr w:rsidR="0026336B" w:rsidRPr="00E54537" w14:paraId="0F6397D3" w14:textId="77777777" w:rsidTr="00C62F56">
        <w:trPr>
          <w:trHeight w:val="373"/>
          <w:jc w:val="right"/>
        </w:trPr>
        <w:tc>
          <w:tcPr>
            <w:tcW w:w="549" w:type="pct"/>
          </w:tcPr>
          <w:p w14:paraId="4519486F" w14:textId="77777777" w:rsidR="0026336B" w:rsidRPr="00E54537" w:rsidRDefault="0026336B" w:rsidP="0026336B">
            <w:pPr>
              <w:pStyle w:val="MDPI42tablebody"/>
              <w:jc w:val="left"/>
              <w:rPr>
                <w:sz w:val="16"/>
                <w:szCs w:val="16"/>
              </w:rPr>
            </w:pPr>
            <w:r w:rsidRPr="00E54537">
              <w:rPr>
                <w:sz w:val="16"/>
                <w:szCs w:val="16"/>
              </w:rPr>
              <w:t>Hedberg 2022</w:t>
            </w:r>
          </w:p>
        </w:tc>
        <w:tc>
          <w:tcPr>
            <w:tcW w:w="1131" w:type="pct"/>
          </w:tcPr>
          <w:p w14:paraId="75FCA941"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Long COVID;</w:t>
            </w:r>
          </w:p>
          <w:p w14:paraId="78F62822"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No long COVID</w:t>
            </w:r>
          </w:p>
        </w:tc>
        <w:tc>
          <w:tcPr>
            <w:tcW w:w="555" w:type="pct"/>
          </w:tcPr>
          <w:p w14:paraId="166E9491" w14:textId="77777777" w:rsidR="0026336B" w:rsidRPr="00E54537" w:rsidRDefault="0026336B" w:rsidP="0026336B">
            <w:pPr>
              <w:pStyle w:val="MDPI42tablebody"/>
              <w:jc w:val="left"/>
              <w:rPr>
                <w:sz w:val="16"/>
                <w:szCs w:val="16"/>
              </w:rPr>
            </w:pPr>
            <w:r w:rsidRPr="00E54537">
              <w:rPr>
                <w:sz w:val="16"/>
                <w:szCs w:val="16"/>
              </w:rPr>
              <w:t>4-12 months after COVID-19 diagnosis</w:t>
            </w:r>
          </w:p>
        </w:tc>
        <w:tc>
          <w:tcPr>
            <w:tcW w:w="2765" w:type="pct"/>
          </w:tcPr>
          <w:p w14:paraId="2B464E07" w14:textId="34BB0687" w:rsidR="0026336B" w:rsidRPr="00E54537" w:rsidRDefault="0026336B" w:rsidP="0026336B">
            <w:pPr>
              <w:pStyle w:val="MDPI42tablebody"/>
              <w:jc w:val="left"/>
              <w:rPr>
                <w:sz w:val="16"/>
                <w:szCs w:val="16"/>
              </w:rPr>
            </w:pPr>
            <w:r w:rsidRPr="00E54537">
              <w:rPr>
                <w:sz w:val="16"/>
                <w:szCs w:val="16"/>
              </w:rPr>
              <w:t>Monthly primary care visit rates after (vs. before) the SARS-CoV-2 acute infection were increased among three COVID-19 severity subgroups with a long COVID diagnosis compared with matched controls (nonhospitalized: 0.23, 95% CI 0.21–0.25, hospitalized: 0.14, 95% CI: 0.10–0.18, and ICU-treated patients: 0.10, 95% CI: 0.03–0.16).</w:t>
            </w:r>
          </w:p>
          <w:p w14:paraId="432C23BB" w14:textId="40944C60" w:rsidR="0026336B" w:rsidRPr="00E54537" w:rsidRDefault="0026336B" w:rsidP="0026336B">
            <w:pPr>
              <w:pStyle w:val="MDPI42tablebody"/>
              <w:jc w:val="left"/>
              <w:rPr>
                <w:sz w:val="16"/>
                <w:szCs w:val="16"/>
              </w:rPr>
            </w:pPr>
            <w:r w:rsidRPr="00E54537">
              <w:rPr>
                <w:sz w:val="16"/>
                <w:szCs w:val="16"/>
              </w:rPr>
              <w:t>For outpatient specialist care, the monthly visit rate was significantly increased among non-</w:t>
            </w:r>
            <w:r w:rsidR="004C4B24" w:rsidRPr="00E54537">
              <w:rPr>
                <w:sz w:val="16"/>
                <w:szCs w:val="16"/>
              </w:rPr>
              <w:t>hospitalized</w:t>
            </w:r>
            <w:r w:rsidRPr="00E54537">
              <w:rPr>
                <w:sz w:val="16"/>
                <w:szCs w:val="16"/>
              </w:rPr>
              <w:t xml:space="preserve"> individuals (0.09, 95% CI: 0.06–0.13 visits), but not for </w:t>
            </w:r>
            <w:r w:rsidR="004C4B24" w:rsidRPr="00E54537">
              <w:rPr>
                <w:sz w:val="16"/>
                <w:szCs w:val="16"/>
              </w:rPr>
              <w:t>hospitalized</w:t>
            </w:r>
            <w:r w:rsidRPr="00E54537">
              <w:rPr>
                <w:sz w:val="16"/>
                <w:szCs w:val="16"/>
              </w:rPr>
              <w:t xml:space="preserve"> (0.09, 95% CI: −0.01 to 0.19 visits) and ICU-treated individuals (0.18, 95% CI: −0.02 to 0.38 visits) in the difference-in-difference analysis.</w:t>
            </w:r>
          </w:p>
        </w:tc>
      </w:tr>
      <w:tr w:rsidR="0026336B" w:rsidRPr="00E54537" w14:paraId="3AA9766D" w14:textId="77777777" w:rsidTr="00C62F56">
        <w:trPr>
          <w:trHeight w:val="373"/>
          <w:jc w:val="right"/>
        </w:trPr>
        <w:tc>
          <w:tcPr>
            <w:tcW w:w="549" w:type="pct"/>
          </w:tcPr>
          <w:p w14:paraId="7AC439CA" w14:textId="77777777" w:rsidR="0026336B" w:rsidRPr="00E54537" w:rsidRDefault="0026336B" w:rsidP="0026336B">
            <w:pPr>
              <w:pStyle w:val="MDPI42tablebody"/>
              <w:jc w:val="left"/>
              <w:rPr>
                <w:sz w:val="16"/>
                <w:szCs w:val="16"/>
              </w:rPr>
            </w:pPr>
            <w:r w:rsidRPr="00E54537">
              <w:rPr>
                <w:sz w:val="16"/>
                <w:szCs w:val="16"/>
              </w:rPr>
              <w:t>Mu 2023</w:t>
            </w:r>
          </w:p>
        </w:tc>
        <w:tc>
          <w:tcPr>
            <w:tcW w:w="1131" w:type="pct"/>
          </w:tcPr>
          <w:p w14:paraId="54E9E6CE"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Long COVID;</w:t>
            </w:r>
          </w:p>
          <w:p w14:paraId="2C484062"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 xml:space="preserve">Pre-pandemic (self-controlled); </w:t>
            </w:r>
          </w:p>
          <w:p w14:paraId="6ADAB761"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COVID only, no long COVID;</w:t>
            </w:r>
          </w:p>
          <w:p w14:paraId="63BA04E3"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 xml:space="preserve">Unaffected by pandemic (before Dec 21, 2019; </w:t>
            </w:r>
          </w:p>
          <w:p w14:paraId="725A7405"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Contemporary non-COVID</w:t>
            </w:r>
          </w:p>
        </w:tc>
        <w:tc>
          <w:tcPr>
            <w:tcW w:w="555" w:type="pct"/>
          </w:tcPr>
          <w:p w14:paraId="1321D1D0" w14:textId="77777777" w:rsidR="0026336B" w:rsidRPr="00E54537" w:rsidRDefault="0026336B" w:rsidP="0026336B">
            <w:pPr>
              <w:pStyle w:val="MDPI42tablebody"/>
              <w:jc w:val="left"/>
              <w:rPr>
                <w:sz w:val="16"/>
                <w:szCs w:val="16"/>
              </w:rPr>
            </w:pPr>
            <w:r w:rsidRPr="00E54537">
              <w:rPr>
                <w:sz w:val="16"/>
                <w:szCs w:val="16"/>
              </w:rPr>
              <w:t>Mean from 395 to 780 days depending on study arm</w:t>
            </w:r>
          </w:p>
        </w:tc>
        <w:tc>
          <w:tcPr>
            <w:tcW w:w="2765" w:type="pct"/>
          </w:tcPr>
          <w:p w14:paraId="137AE4EB" w14:textId="4D593E4F" w:rsidR="0026336B" w:rsidRPr="00E54537" w:rsidRDefault="0026336B" w:rsidP="0026336B">
            <w:pPr>
              <w:pStyle w:val="MDPI42tablebody"/>
              <w:jc w:val="both"/>
              <w:rPr>
                <w:sz w:val="16"/>
                <w:szCs w:val="16"/>
              </w:rPr>
            </w:pPr>
            <w:r w:rsidRPr="00E54537">
              <w:rPr>
                <w:sz w:val="16"/>
                <w:szCs w:val="16"/>
              </w:rPr>
              <w:t>Individuals with long COVID attended more outpatient appointments monthly (mean difference 0.28, SD=0.54 per person per month for long COVID) than all control groups, and placed second after COVID only, no long COVID for critical care and ED attendances (0.02, SD=0.56; and 0.06, SD=0.38 per person per month, respectively).</w:t>
            </w:r>
          </w:p>
          <w:p w14:paraId="6CACC25E" w14:textId="77777777" w:rsidR="0026336B" w:rsidRPr="00E54537" w:rsidRDefault="0026336B" w:rsidP="0026336B">
            <w:pPr>
              <w:pStyle w:val="MDPI42tablebody"/>
              <w:jc w:val="left"/>
              <w:rPr>
                <w:sz w:val="16"/>
                <w:szCs w:val="16"/>
              </w:rPr>
            </w:pPr>
            <w:r w:rsidRPr="00E54537">
              <w:rPr>
                <w:sz w:val="16"/>
                <w:szCs w:val="16"/>
              </w:rPr>
              <w:t>Annually, individuals with long COVID experienced more outpatient appointments (mean difference 3.32 SD = 6.50 per person per year for long COVID) than all control groups, and ranked second after COVID only, no LC for critical care and ED attendances (0.21, SD=6.76; and 0.77, SD=4.56 per person per year, respectively)</w:t>
            </w:r>
          </w:p>
        </w:tc>
      </w:tr>
      <w:tr w:rsidR="0026336B" w:rsidRPr="00E54537" w14:paraId="3F0E388A" w14:textId="77777777" w:rsidTr="00C62F56">
        <w:trPr>
          <w:trHeight w:val="373"/>
          <w:jc w:val="right"/>
        </w:trPr>
        <w:tc>
          <w:tcPr>
            <w:tcW w:w="549" w:type="pct"/>
          </w:tcPr>
          <w:p w14:paraId="12310B31" w14:textId="77777777" w:rsidR="0026336B" w:rsidRPr="00E54537" w:rsidRDefault="0026336B" w:rsidP="0026336B">
            <w:pPr>
              <w:pStyle w:val="MDPI42tablebody"/>
              <w:jc w:val="left"/>
              <w:rPr>
                <w:sz w:val="16"/>
                <w:szCs w:val="16"/>
              </w:rPr>
            </w:pPr>
            <w:r w:rsidRPr="00E54537">
              <w:rPr>
                <w:sz w:val="16"/>
                <w:szCs w:val="16"/>
              </w:rPr>
              <w:t>Kirchberger 2023</w:t>
            </w:r>
          </w:p>
        </w:tc>
        <w:tc>
          <w:tcPr>
            <w:tcW w:w="1131" w:type="pct"/>
          </w:tcPr>
          <w:p w14:paraId="7E87173C"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Long COVID;</w:t>
            </w:r>
          </w:p>
          <w:p w14:paraId="1F936118" w14:textId="77777777" w:rsidR="0026336B" w:rsidRPr="00E54537" w:rsidRDefault="0026336B" w:rsidP="0026336B">
            <w:pPr>
              <w:pStyle w:val="MDPI42tablebody"/>
              <w:numPr>
                <w:ilvl w:val="0"/>
                <w:numId w:val="41"/>
              </w:numPr>
              <w:ind w:left="113" w:hanging="113"/>
              <w:jc w:val="left"/>
              <w:rPr>
                <w:sz w:val="16"/>
                <w:szCs w:val="16"/>
              </w:rPr>
            </w:pPr>
            <w:r w:rsidRPr="00E54537">
              <w:rPr>
                <w:sz w:val="16"/>
                <w:szCs w:val="16"/>
              </w:rPr>
              <w:t>No long COVID</w:t>
            </w:r>
          </w:p>
        </w:tc>
        <w:tc>
          <w:tcPr>
            <w:tcW w:w="555" w:type="pct"/>
          </w:tcPr>
          <w:p w14:paraId="740098C7" w14:textId="77777777" w:rsidR="0026336B" w:rsidRPr="00E54537" w:rsidRDefault="0026336B" w:rsidP="0026336B">
            <w:pPr>
              <w:pStyle w:val="MDPI42tablebody"/>
              <w:jc w:val="left"/>
              <w:rPr>
                <w:sz w:val="16"/>
                <w:szCs w:val="16"/>
              </w:rPr>
            </w:pPr>
            <w:r w:rsidRPr="00E54537">
              <w:rPr>
                <w:sz w:val="16"/>
                <w:szCs w:val="16"/>
              </w:rPr>
              <w:t>Median 26 months</w:t>
            </w:r>
          </w:p>
        </w:tc>
        <w:tc>
          <w:tcPr>
            <w:tcW w:w="2765" w:type="pct"/>
          </w:tcPr>
          <w:p w14:paraId="55F1F9EF" w14:textId="46882821" w:rsidR="0026336B" w:rsidRPr="00E54537" w:rsidRDefault="0026336B" w:rsidP="0026336B">
            <w:pPr>
              <w:pStyle w:val="MDPI42tablebody"/>
              <w:jc w:val="both"/>
              <w:rPr>
                <w:sz w:val="16"/>
                <w:szCs w:val="16"/>
              </w:rPr>
            </w:pPr>
            <w:r w:rsidRPr="00E54537">
              <w:rPr>
                <w:sz w:val="16"/>
                <w:szCs w:val="16"/>
              </w:rPr>
              <w:t>In the past year, most of the medical specialists, as well as physical therapists, psychologists/ psychotherapists, and non-medical practitioners, were visited significantly more often by persons with long COVID compared with individuals without long COVID.</w:t>
            </w:r>
          </w:p>
        </w:tc>
      </w:tr>
      <w:tr w:rsidR="007C7669" w:rsidRPr="00E54537" w14:paraId="312E1127" w14:textId="77777777" w:rsidTr="00C62F56">
        <w:trPr>
          <w:trHeight w:val="373"/>
          <w:jc w:val="right"/>
        </w:trPr>
        <w:tc>
          <w:tcPr>
            <w:tcW w:w="549" w:type="pct"/>
          </w:tcPr>
          <w:p w14:paraId="4A3F76D4" w14:textId="6DD55D93" w:rsidR="007C7669" w:rsidRPr="00E54537" w:rsidRDefault="007C7669" w:rsidP="007C7669">
            <w:pPr>
              <w:pStyle w:val="MDPI42tablebody"/>
              <w:jc w:val="left"/>
              <w:rPr>
                <w:sz w:val="16"/>
                <w:szCs w:val="16"/>
              </w:rPr>
            </w:pPr>
            <w:r w:rsidRPr="00E54537">
              <w:rPr>
                <w:sz w:val="16"/>
                <w:szCs w:val="16"/>
              </w:rPr>
              <w:t>Nehme 2022</w:t>
            </w:r>
          </w:p>
        </w:tc>
        <w:tc>
          <w:tcPr>
            <w:tcW w:w="1131" w:type="pct"/>
          </w:tcPr>
          <w:p w14:paraId="7C396E3E"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Post-COVID condition with chronification of symptoms;</w:t>
            </w:r>
          </w:p>
          <w:p w14:paraId="424746CC"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Post-COVID condition without chronification of symptoms;</w:t>
            </w:r>
          </w:p>
          <w:p w14:paraId="4373C6C4"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 without post-COVID condition;</w:t>
            </w:r>
          </w:p>
          <w:p w14:paraId="7FBE87B7" w14:textId="4B9D320E" w:rsidR="007C7669" w:rsidRPr="00E54537" w:rsidRDefault="007C7669" w:rsidP="007C7669">
            <w:pPr>
              <w:pStyle w:val="MDPI42tablebody"/>
              <w:numPr>
                <w:ilvl w:val="0"/>
                <w:numId w:val="41"/>
              </w:numPr>
              <w:ind w:left="113" w:hanging="113"/>
              <w:jc w:val="left"/>
              <w:rPr>
                <w:sz w:val="16"/>
                <w:szCs w:val="16"/>
              </w:rPr>
            </w:pPr>
            <w:r w:rsidRPr="00E54537">
              <w:rPr>
                <w:sz w:val="16"/>
                <w:szCs w:val="16"/>
              </w:rPr>
              <w:t>No COVID-19</w:t>
            </w:r>
          </w:p>
        </w:tc>
        <w:tc>
          <w:tcPr>
            <w:tcW w:w="555" w:type="pct"/>
          </w:tcPr>
          <w:p w14:paraId="4B697C7A" w14:textId="68962FA8" w:rsidR="007C7669" w:rsidRPr="00E54537" w:rsidRDefault="007C7669" w:rsidP="007C7669">
            <w:pPr>
              <w:pStyle w:val="MDPI42tablebody"/>
              <w:jc w:val="left"/>
              <w:rPr>
                <w:sz w:val="16"/>
                <w:szCs w:val="16"/>
              </w:rPr>
            </w:pPr>
            <w:r w:rsidRPr="00E54537">
              <w:rPr>
                <w:sz w:val="16"/>
                <w:szCs w:val="16"/>
              </w:rPr>
              <w:t>15 months</w:t>
            </w:r>
          </w:p>
        </w:tc>
        <w:tc>
          <w:tcPr>
            <w:tcW w:w="2765" w:type="pct"/>
          </w:tcPr>
          <w:p w14:paraId="28D93E0C" w14:textId="5BE0C0F4" w:rsidR="007C7669" w:rsidRPr="00E54537" w:rsidRDefault="00CD49B6" w:rsidP="007C7669">
            <w:pPr>
              <w:pStyle w:val="MDPI42tablebody"/>
              <w:jc w:val="both"/>
              <w:rPr>
                <w:sz w:val="16"/>
                <w:szCs w:val="16"/>
              </w:rPr>
            </w:pPr>
            <w:r w:rsidRPr="00E54537">
              <w:rPr>
                <w:sz w:val="16"/>
                <w:szCs w:val="16"/>
              </w:rPr>
              <w:t xml:space="preserve">Symptom chronicity (lasting up to 15 months post-infection) led to increased healthcare service utilization, i.e. </w:t>
            </w:r>
            <w:r w:rsidR="00726BE3" w:rsidRPr="00E54537">
              <w:rPr>
                <w:sz w:val="16"/>
                <w:szCs w:val="16"/>
              </w:rPr>
              <w:t xml:space="preserve">visits to the emergency room, visits to the primary care physician, and visits to specialists </w:t>
            </w:r>
            <w:r w:rsidRPr="00E54537">
              <w:rPr>
                <w:sz w:val="16"/>
                <w:szCs w:val="16"/>
              </w:rPr>
              <w:t xml:space="preserve">compared with individuals with post-COVID-19 without persistent symptoms, individuals without post-COVID-19, and those without positive SARS-CoV-2 test results. </w:t>
            </w:r>
          </w:p>
        </w:tc>
      </w:tr>
      <w:tr w:rsidR="007C7669" w:rsidRPr="00E54537" w14:paraId="3778E8B7" w14:textId="77777777" w:rsidTr="00C62F56">
        <w:trPr>
          <w:trHeight w:val="373"/>
          <w:jc w:val="right"/>
        </w:trPr>
        <w:tc>
          <w:tcPr>
            <w:tcW w:w="549" w:type="pct"/>
          </w:tcPr>
          <w:p w14:paraId="1F9BE37F" w14:textId="77777777" w:rsidR="007C7669" w:rsidRPr="00E54537" w:rsidRDefault="007C7669" w:rsidP="007C7669">
            <w:pPr>
              <w:pStyle w:val="MDPI42tablebody"/>
              <w:jc w:val="left"/>
              <w:rPr>
                <w:sz w:val="16"/>
                <w:szCs w:val="16"/>
              </w:rPr>
            </w:pPr>
            <w:r w:rsidRPr="00E54537">
              <w:rPr>
                <w:sz w:val="16"/>
                <w:szCs w:val="16"/>
              </w:rPr>
              <w:t>Fung 2023</w:t>
            </w:r>
          </w:p>
        </w:tc>
        <w:tc>
          <w:tcPr>
            <w:tcW w:w="1131" w:type="pct"/>
          </w:tcPr>
          <w:p w14:paraId="3A733F0D"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Long COVID;</w:t>
            </w:r>
          </w:p>
          <w:p w14:paraId="7246AD3C"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Long flu</w:t>
            </w:r>
          </w:p>
        </w:tc>
        <w:tc>
          <w:tcPr>
            <w:tcW w:w="555" w:type="pct"/>
          </w:tcPr>
          <w:p w14:paraId="1C70DCFF" w14:textId="77777777" w:rsidR="007C7669" w:rsidRPr="00E54537" w:rsidRDefault="007C7669" w:rsidP="007C7669">
            <w:pPr>
              <w:pStyle w:val="MDPI42tablebody"/>
              <w:jc w:val="left"/>
              <w:rPr>
                <w:sz w:val="16"/>
                <w:szCs w:val="16"/>
              </w:rPr>
            </w:pPr>
            <w:r w:rsidRPr="00E54537">
              <w:rPr>
                <w:sz w:val="16"/>
                <w:szCs w:val="16"/>
              </w:rPr>
              <w:t>2 months</w:t>
            </w:r>
          </w:p>
        </w:tc>
        <w:tc>
          <w:tcPr>
            <w:tcW w:w="2765" w:type="pct"/>
          </w:tcPr>
          <w:p w14:paraId="30DAE267" w14:textId="5B47FA89" w:rsidR="007C7669" w:rsidRPr="00E54537" w:rsidRDefault="007C7669" w:rsidP="007C7669">
            <w:pPr>
              <w:pStyle w:val="MDPI42tablebody"/>
              <w:jc w:val="both"/>
              <w:rPr>
                <w:sz w:val="16"/>
                <w:szCs w:val="16"/>
              </w:rPr>
            </w:pPr>
            <w:r w:rsidRPr="00E54537">
              <w:rPr>
                <w:sz w:val="16"/>
                <w:szCs w:val="16"/>
              </w:rPr>
              <w:t>Outpatients with long COVID were more likely to have outpatient visits than patients with long Flu (mean 2.9 (SD 3.4) vs. 2.5 (SD 2.7) visits, adjusted IRR=1.09, 95%CI: 1.08-1.10, p&lt;0.001).</w:t>
            </w:r>
          </w:p>
          <w:p w14:paraId="582C52FF" w14:textId="77777777" w:rsidR="007C7669" w:rsidRPr="00E54537" w:rsidRDefault="007C7669" w:rsidP="007C7669">
            <w:pPr>
              <w:pStyle w:val="MDPI42tablebody"/>
              <w:jc w:val="both"/>
              <w:rPr>
                <w:sz w:val="16"/>
                <w:szCs w:val="16"/>
              </w:rPr>
            </w:pPr>
            <w:r w:rsidRPr="00E54537">
              <w:rPr>
                <w:sz w:val="16"/>
                <w:szCs w:val="16"/>
              </w:rPr>
              <w:t>Patients with long COVID had significantly fewer ED visits than long flu (P&lt;0.001), probably because of reduced ED usage during the pandemic.</w:t>
            </w:r>
          </w:p>
        </w:tc>
      </w:tr>
      <w:tr w:rsidR="007C7669" w:rsidRPr="00E54537" w14:paraId="72745E0B" w14:textId="77777777" w:rsidTr="00657334">
        <w:trPr>
          <w:trHeight w:val="373"/>
          <w:jc w:val="right"/>
        </w:trPr>
        <w:tc>
          <w:tcPr>
            <w:tcW w:w="5000" w:type="pct"/>
            <w:gridSpan w:val="4"/>
          </w:tcPr>
          <w:p w14:paraId="0F2DFDF5" w14:textId="6A158C39" w:rsidR="007C7669" w:rsidRPr="00E54537" w:rsidRDefault="007C7669" w:rsidP="007C7669">
            <w:pPr>
              <w:pStyle w:val="MDPI42tablebody"/>
              <w:jc w:val="both"/>
              <w:rPr>
                <w:sz w:val="16"/>
                <w:szCs w:val="16"/>
              </w:rPr>
            </w:pPr>
            <w:r w:rsidRPr="00E54537">
              <w:rPr>
                <w:b/>
                <w:bCs/>
                <w:sz w:val="16"/>
                <w:szCs w:val="16"/>
              </w:rPr>
              <w:t>Long-term HCRU in patients with COVID-19</w:t>
            </w:r>
          </w:p>
        </w:tc>
      </w:tr>
      <w:tr w:rsidR="007C7669" w:rsidRPr="00E54537" w14:paraId="1364912D" w14:textId="77777777" w:rsidTr="00C62F56">
        <w:trPr>
          <w:trHeight w:val="373"/>
          <w:jc w:val="right"/>
        </w:trPr>
        <w:tc>
          <w:tcPr>
            <w:tcW w:w="549" w:type="pct"/>
          </w:tcPr>
          <w:p w14:paraId="49039FEF" w14:textId="7CA73B41" w:rsidR="007C7669" w:rsidRPr="00E54537" w:rsidRDefault="007C7669" w:rsidP="007C7669">
            <w:pPr>
              <w:pStyle w:val="MDPI42tablebody"/>
              <w:jc w:val="left"/>
              <w:rPr>
                <w:sz w:val="16"/>
                <w:szCs w:val="16"/>
              </w:rPr>
            </w:pPr>
            <w:r w:rsidRPr="00E54537">
              <w:rPr>
                <w:sz w:val="16"/>
                <w:szCs w:val="16"/>
              </w:rPr>
              <w:t>Hernandez-Romieu 2021</w:t>
            </w:r>
          </w:p>
        </w:tc>
        <w:tc>
          <w:tcPr>
            <w:tcW w:w="1131" w:type="pct"/>
          </w:tcPr>
          <w:p w14:paraId="2B1B79F4" w14:textId="369937C2"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 (non-hospitalized)</w:t>
            </w:r>
          </w:p>
        </w:tc>
        <w:tc>
          <w:tcPr>
            <w:tcW w:w="555" w:type="pct"/>
          </w:tcPr>
          <w:p w14:paraId="58224F38" w14:textId="2EFCCCCB" w:rsidR="007C7669" w:rsidRPr="00E54537" w:rsidRDefault="007C7669" w:rsidP="007C7669">
            <w:pPr>
              <w:pStyle w:val="MDPI42tablebody"/>
              <w:jc w:val="left"/>
              <w:rPr>
                <w:sz w:val="16"/>
                <w:szCs w:val="16"/>
              </w:rPr>
            </w:pPr>
            <w:r w:rsidRPr="00E54537">
              <w:rPr>
                <w:sz w:val="16"/>
                <w:szCs w:val="16"/>
              </w:rPr>
              <w:t>6 months</w:t>
            </w:r>
          </w:p>
        </w:tc>
        <w:tc>
          <w:tcPr>
            <w:tcW w:w="2765" w:type="pct"/>
          </w:tcPr>
          <w:p w14:paraId="3745FF6C" w14:textId="210A5FF6" w:rsidR="007C7669" w:rsidRPr="00E54537" w:rsidRDefault="007C7669" w:rsidP="007C7669">
            <w:pPr>
              <w:pStyle w:val="MDPI42tablebody"/>
              <w:jc w:val="both"/>
              <w:rPr>
                <w:sz w:val="16"/>
                <w:szCs w:val="16"/>
              </w:rPr>
            </w:pPr>
            <w:r w:rsidRPr="00E54537">
              <w:rPr>
                <w:sz w:val="16"/>
                <w:szCs w:val="16"/>
              </w:rPr>
              <w:t xml:space="preserve">69% of patients had at least 1 outpatient visit during the 28–180 days after COVID-19 diagnosis (10% were due to an active COVID-19 diagnosis, and 3–7% were due to symptoms potentially related to COVID-19) and less than 2% required </w:t>
            </w:r>
            <w:r w:rsidR="004C4B24" w:rsidRPr="00E54537">
              <w:rPr>
                <w:sz w:val="16"/>
                <w:szCs w:val="16"/>
              </w:rPr>
              <w:t>hospitalization</w:t>
            </w:r>
            <w:r w:rsidRPr="00E54537">
              <w:rPr>
                <w:sz w:val="16"/>
                <w:szCs w:val="16"/>
              </w:rPr>
              <w:t>.</w:t>
            </w:r>
          </w:p>
        </w:tc>
      </w:tr>
      <w:tr w:rsidR="007C7669" w:rsidRPr="00E54537" w14:paraId="6673E8C4" w14:textId="77777777" w:rsidTr="00C62F56">
        <w:trPr>
          <w:trHeight w:val="373"/>
          <w:jc w:val="right"/>
        </w:trPr>
        <w:tc>
          <w:tcPr>
            <w:tcW w:w="549" w:type="pct"/>
          </w:tcPr>
          <w:p w14:paraId="227C9D34" w14:textId="2C69DB69" w:rsidR="007C7669" w:rsidRPr="00E54537" w:rsidRDefault="007C7669" w:rsidP="007C7669">
            <w:pPr>
              <w:pStyle w:val="MDPI42tablebody"/>
              <w:jc w:val="left"/>
              <w:rPr>
                <w:sz w:val="16"/>
                <w:szCs w:val="16"/>
              </w:rPr>
            </w:pPr>
            <w:r w:rsidRPr="00E54537">
              <w:rPr>
                <w:sz w:val="16"/>
                <w:szCs w:val="16"/>
              </w:rPr>
              <w:t>DeMartino 2022</w:t>
            </w:r>
          </w:p>
        </w:tc>
        <w:tc>
          <w:tcPr>
            <w:tcW w:w="1131" w:type="pct"/>
          </w:tcPr>
          <w:p w14:paraId="0AF2538D"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w:t>
            </w:r>
          </w:p>
          <w:p w14:paraId="21A7905C" w14:textId="3019D6A1" w:rsidR="007C7669" w:rsidRPr="00E54537" w:rsidRDefault="007C7669" w:rsidP="007C766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3459E34D" w14:textId="12BBE617" w:rsidR="007C7669" w:rsidRPr="00E54537" w:rsidRDefault="007C7669" w:rsidP="007C7669">
            <w:pPr>
              <w:pStyle w:val="MDPI42tablebody"/>
              <w:jc w:val="left"/>
              <w:rPr>
                <w:sz w:val="16"/>
                <w:szCs w:val="16"/>
              </w:rPr>
            </w:pPr>
            <w:r w:rsidRPr="00E54537">
              <w:rPr>
                <w:sz w:val="16"/>
                <w:szCs w:val="16"/>
              </w:rPr>
              <w:t>6 months</w:t>
            </w:r>
          </w:p>
        </w:tc>
        <w:tc>
          <w:tcPr>
            <w:tcW w:w="2765" w:type="pct"/>
          </w:tcPr>
          <w:p w14:paraId="7771DE8E" w14:textId="1DA42A95" w:rsidR="007C7669" w:rsidRPr="00E54537" w:rsidRDefault="007C7669" w:rsidP="007C7669">
            <w:pPr>
              <w:pStyle w:val="MDPI42tablebody"/>
              <w:jc w:val="both"/>
              <w:rPr>
                <w:sz w:val="16"/>
                <w:szCs w:val="16"/>
              </w:rPr>
            </w:pPr>
            <w:r w:rsidRPr="00E54537">
              <w:rPr>
                <w:sz w:val="16"/>
                <w:szCs w:val="16"/>
              </w:rPr>
              <w:t>The proportion of individuals with outpatient visits decreased to a level similar to the control group in month 6. Among commercially insured patients, mental health and rehabilitation visits were relatively rare (&lt; 7%), and the magnitude of the difference between COVID-19 and control groups was minimal. Among Medicare-insured patients, mental health and rehabilitation visits were also relatively rare; however, the COVID-19 group was significantly more likely to have mental health visits through month 5 (all p&lt;0.01) and rehabilitation visits through month 4 (all p &lt; 0.01) compared with controls. Patients with COVID-19 were significantly more likely to have at least 1 ED visit through month 6 (all p &lt; 0.001), though the magnitude of the difference between groups after month 1 was small (&lt; 3%).</w:t>
            </w:r>
          </w:p>
        </w:tc>
      </w:tr>
      <w:tr w:rsidR="007C7669" w:rsidRPr="00E54537" w14:paraId="739A83F9" w14:textId="77777777" w:rsidTr="00C62F56">
        <w:trPr>
          <w:trHeight w:val="373"/>
          <w:jc w:val="right"/>
        </w:trPr>
        <w:tc>
          <w:tcPr>
            <w:tcW w:w="549" w:type="pct"/>
          </w:tcPr>
          <w:p w14:paraId="23718F58" w14:textId="19F4E7EC" w:rsidR="007C7669" w:rsidRPr="00E54537" w:rsidRDefault="007C7669" w:rsidP="007C7669">
            <w:pPr>
              <w:pStyle w:val="MDPI42tablebody"/>
              <w:jc w:val="left"/>
              <w:rPr>
                <w:sz w:val="16"/>
                <w:szCs w:val="16"/>
              </w:rPr>
            </w:pPr>
            <w:r w:rsidRPr="00E54537">
              <w:rPr>
                <w:sz w:val="16"/>
                <w:szCs w:val="16"/>
              </w:rPr>
              <w:t>Formoso 2023</w:t>
            </w:r>
          </w:p>
        </w:tc>
        <w:tc>
          <w:tcPr>
            <w:tcW w:w="1131" w:type="pct"/>
          </w:tcPr>
          <w:p w14:paraId="3DF8463E"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w:t>
            </w:r>
          </w:p>
          <w:p w14:paraId="5694E547" w14:textId="78AB9881" w:rsidR="007C7669" w:rsidRPr="00E54537" w:rsidRDefault="007C7669" w:rsidP="007C766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292CCB7B" w14:textId="6A0680DA" w:rsidR="007C7669" w:rsidRPr="00E54537" w:rsidRDefault="007C7669" w:rsidP="007C7669">
            <w:pPr>
              <w:pStyle w:val="MDPI42tablebody"/>
              <w:jc w:val="left"/>
              <w:rPr>
                <w:sz w:val="16"/>
                <w:szCs w:val="16"/>
              </w:rPr>
            </w:pPr>
            <w:r w:rsidRPr="00E54537">
              <w:rPr>
                <w:sz w:val="16"/>
                <w:szCs w:val="16"/>
              </w:rPr>
              <w:t>Median 152 days</w:t>
            </w:r>
          </w:p>
        </w:tc>
        <w:tc>
          <w:tcPr>
            <w:tcW w:w="2765" w:type="pct"/>
          </w:tcPr>
          <w:p w14:paraId="3686FCBC" w14:textId="38A74DCB" w:rsidR="007C7669" w:rsidRPr="00E54537" w:rsidRDefault="007C7669" w:rsidP="007C7669">
            <w:pPr>
              <w:pStyle w:val="MDPI42tablebody"/>
              <w:jc w:val="both"/>
              <w:rPr>
                <w:sz w:val="16"/>
                <w:szCs w:val="16"/>
              </w:rPr>
            </w:pPr>
            <w:r w:rsidRPr="00E54537">
              <w:rPr>
                <w:sz w:val="16"/>
                <w:szCs w:val="16"/>
              </w:rPr>
              <w:t>Patients with previous exposure to SARS-CoV-2 infection required increased outpatient specialist visits compared with those without COVID-19, particularly visits to pneumologists (HR=2.45, 95%CI: 2.17-2.76), cardiologists (HR=1.44, 95%CI: 1.33-1.55), neurologists (HR=1.25, 95%CI: 1.14-1.36), rheumatologists (HR=1.17, 95%CI: 1.05-1.31), and endocrinologists (HR=1.30, 95%CI: 1.21-1.39). Previous exposure to the SARS-CoV-2 infection was also associated with a higher probability of needing access to an emergency room compared with patients without COVID-19 (HR=1.36, 95%CI: 1.29-1.42).</w:t>
            </w:r>
          </w:p>
        </w:tc>
      </w:tr>
      <w:tr w:rsidR="007C7669" w:rsidRPr="00E54537" w14:paraId="79C81B32" w14:textId="77777777" w:rsidTr="00C62F56">
        <w:trPr>
          <w:trHeight w:val="373"/>
          <w:jc w:val="right"/>
        </w:trPr>
        <w:tc>
          <w:tcPr>
            <w:tcW w:w="549" w:type="pct"/>
          </w:tcPr>
          <w:p w14:paraId="167D0804" w14:textId="1714B078" w:rsidR="007C7669" w:rsidRPr="00E54537" w:rsidRDefault="007C7669" w:rsidP="007C7669">
            <w:pPr>
              <w:pStyle w:val="MDPI42tablebody"/>
              <w:jc w:val="left"/>
              <w:rPr>
                <w:sz w:val="16"/>
                <w:szCs w:val="16"/>
              </w:rPr>
            </w:pPr>
            <w:r w:rsidRPr="00E54537">
              <w:rPr>
                <w:sz w:val="16"/>
                <w:szCs w:val="16"/>
              </w:rPr>
              <w:t>Castriotta 2023</w:t>
            </w:r>
          </w:p>
        </w:tc>
        <w:tc>
          <w:tcPr>
            <w:tcW w:w="1131" w:type="pct"/>
          </w:tcPr>
          <w:p w14:paraId="02ABEDF2"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w:t>
            </w:r>
          </w:p>
          <w:p w14:paraId="55A9493C" w14:textId="18D41975" w:rsidR="007C7669" w:rsidRPr="00E54537" w:rsidRDefault="007C7669" w:rsidP="007C766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5A6B5D16" w14:textId="1BE16E5B" w:rsidR="007C7669" w:rsidRPr="00E54537" w:rsidRDefault="007C7669" w:rsidP="007C7669">
            <w:pPr>
              <w:pStyle w:val="MDPI42tablebody"/>
              <w:jc w:val="left"/>
              <w:rPr>
                <w:sz w:val="16"/>
                <w:szCs w:val="16"/>
              </w:rPr>
            </w:pPr>
            <w:r w:rsidRPr="00E54537">
              <w:rPr>
                <w:sz w:val="16"/>
                <w:szCs w:val="16"/>
              </w:rPr>
              <w:t>6 months</w:t>
            </w:r>
          </w:p>
        </w:tc>
        <w:tc>
          <w:tcPr>
            <w:tcW w:w="2765" w:type="pct"/>
          </w:tcPr>
          <w:p w14:paraId="63DEEA1C" w14:textId="539C42B5" w:rsidR="007C7669" w:rsidRPr="00E54537" w:rsidRDefault="007C7669" w:rsidP="007C7669">
            <w:pPr>
              <w:pStyle w:val="MDPI42tablebody"/>
              <w:jc w:val="both"/>
              <w:rPr>
                <w:sz w:val="16"/>
                <w:szCs w:val="16"/>
              </w:rPr>
            </w:pPr>
            <w:r w:rsidRPr="00E54537">
              <w:rPr>
                <w:sz w:val="16"/>
                <w:szCs w:val="16"/>
              </w:rPr>
              <w:t xml:space="preserve">Patients </w:t>
            </w:r>
            <w:r w:rsidR="004C4B24" w:rsidRPr="00E54537">
              <w:rPr>
                <w:sz w:val="16"/>
                <w:szCs w:val="16"/>
              </w:rPr>
              <w:t>hospitalized</w:t>
            </w:r>
            <w:r w:rsidRPr="00E54537">
              <w:rPr>
                <w:sz w:val="16"/>
                <w:szCs w:val="16"/>
              </w:rPr>
              <w:t xml:space="preserve"> or admitted to ICU during their acute phase of COVID-19 had significantly higher rates of outpatient visits in the 6 months following infection compared with patients unexposed to COVID-19.</w:t>
            </w:r>
          </w:p>
        </w:tc>
      </w:tr>
      <w:tr w:rsidR="007C7669" w:rsidRPr="00E54537" w14:paraId="4A2142B9" w14:textId="77777777" w:rsidTr="00C62F56">
        <w:trPr>
          <w:trHeight w:val="373"/>
          <w:jc w:val="right"/>
        </w:trPr>
        <w:tc>
          <w:tcPr>
            <w:tcW w:w="549" w:type="pct"/>
          </w:tcPr>
          <w:p w14:paraId="413A8ADE" w14:textId="422A54D1" w:rsidR="007C7669" w:rsidRPr="00E54537" w:rsidRDefault="007C7669" w:rsidP="007C7669">
            <w:pPr>
              <w:pStyle w:val="MDPI42tablebody"/>
              <w:jc w:val="left"/>
              <w:rPr>
                <w:sz w:val="16"/>
                <w:szCs w:val="16"/>
              </w:rPr>
            </w:pPr>
            <w:r w:rsidRPr="00E54537">
              <w:rPr>
                <w:sz w:val="16"/>
                <w:szCs w:val="16"/>
              </w:rPr>
              <w:t>Lo 2023</w:t>
            </w:r>
          </w:p>
        </w:tc>
        <w:tc>
          <w:tcPr>
            <w:tcW w:w="1131" w:type="pct"/>
          </w:tcPr>
          <w:p w14:paraId="65A3F75E"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w:t>
            </w:r>
          </w:p>
          <w:p w14:paraId="7DEE510B" w14:textId="5E55ACEF" w:rsidR="007C7669" w:rsidRPr="00E54537" w:rsidRDefault="007C7669" w:rsidP="007C766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3AA81080" w14:textId="17D83A39" w:rsidR="007C7669" w:rsidRPr="00E54537" w:rsidRDefault="007C7669" w:rsidP="007C7669">
            <w:pPr>
              <w:pStyle w:val="MDPI42tablebody"/>
              <w:jc w:val="left"/>
              <w:rPr>
                <w:sz w:val="16"/>
                <w:szCs w:val="16"/>
              </w:rPr>
            </w:pPr>
            <w:r w:rsidRPr="00E54537">
              <w:rPr>
                <w:sz w:val="16"/>
                <w:szCs w:val="16"/>
              </w:rPr>
              <w:t>Up to 13 months</w:t>
            </w:r>
          </w:p>
        </w:tc>
        <w:tc>
          <w:tcPr>
            <w:tcW w:w="2765" w:type="pct"/>
          </w:tcPr>
          <w:p w14:paraId="5C8DE1EE" w14:textId="69B55657" w:rsidR="007C7669" w:rsidRPr="00E54537" w:rsidRDefault="007C7669" w:rsidP="007C7669">
            <w:pPr>
              <w:pStyle w:val="MDPI42tablebody"/>
              <w:jc w:val="both"/>
              <w:rPr>
                <w:sz w:val="16"/>
                <w:szCs w:val="16"/>
              </w:rPr>
            </w:pPr>
            <w:r w:rsidRPr="00E54537">
              <w:rPr>
                <w:sz w:val="16"/>
                <w:szCs w:val="16"/>
              </w:rPr>
              <w:t xml:space="preserve">A higher percentage of patients who were </w:t>
            </w:r>
            <w:r w:rsidR="004C4B24" w:rsidRPr="00E54537">
              <w:rPr>
                <w:sz w:val="16"/>
                <w:szCs w:val="16"/>
              </w:rPr>
              <w:t>hospitalized</w:t>
            </w:r>
            <w:r w:rsidRPr="00E54537">
              <w:rPr>
                <w:sz w:val="16"/>
                <w:szCs w:val="16"/>
              </w:rPr>
              <w:t xml:space="preserve"> during their acute phase of COVID-19 needed physician visits and ED or urgent care clinic visits compared with matched controls without a COVID-19 diagnosis during the follow-up period.</w:t>
            </w:r>
          </w:p>
        </w:tc>
      </w:tr>
      <w:tr w:rsidR="007C7669" w:rsidRPr="00E54537" w14:paraId="52C91E48" w14:textId="77777777" w:rsidTr="00C62F56">
        <w:trPr>
          <w:trHeight w:val="373"/>
          <w:jc w:val="right"/>
        </w:trPr>
        <w:tc>
          <w:tcPr>
            <w:tcW w:w="549" w:type="pct"/>
          </w:tcPr>
          <w:p w14:paraId="50524FD8" w14:textId="1AAFF446" w:rsidR="007C7669" w:rsidRPr="00E54537" w:rsidRDefault="007C7669" w:rsidP="007C7669">
            <w:pPr>
              <w:pStyle w:val="MDPI42tablebody"/>
              <w:jc w:val="left"/>
              <w:rPr>
                <w:sz w:val="16"/>
                <w:szCs w:val="16"/>
              </w:rPr>
            </w:pPr>
            <w:r w:rsidRPr="00E54537">
              <w:rPr>
                <w:sz w:val="16"/>
                <w:szCs w:val="16"/>
              </w:rPr>
              <w:t>McNaughton 2022</w:t>
            </w:r>
          </w:p>
        </w:tc>
        <w:tc>
          <w:tcPr>
            <w:tcW w:w="1131" w:type="pct"/>
          </w:tcPr>
          <w:p w14:paraId="6B3AD713"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Positive SARS-CoV-2 tests results</w:t>
            </w:r>
          </w:p>
          <w:p w14:paraId="00CDF98C" w14:textId="4B59F634" w:rsidR="007C7669" w:rsidRPr="00E54537" w:rsidRDefault="007C7669" w:rsidP="007C7669">
            <w:pPr>
              <w:pStyle w:val="MDPI42tablebody"/>
              <w:numPr>
                <w:ilvl w:val="0"/>
                <w:numId w:val="41"/>
              </w:numPr>
              <w:ind w:left="113" w:hanging="113"/>
              <w:jc w:val="left"/>
              <w:rPr>
                <w:sz w:val="16"/>
                <w:szCs w:val="16"/>
              </w:rPr>
            </w:pPr>
            <w:r w:rsidRPr="00E54537">
              <w:rPr>
                <w:sz w:val="16"/>
                <w:szCs w:val="16"/>
              </w:rPr>
              <w:t>Negative SARS-CoV-2 test results</w:t>
            </w:r>
          </w:p>
        </w:tc>
        <w:tc>
          <w:tcPr>
            <w:tcW w:w="555" w:type="pct"/>
          </w:tcPr>
          <w:p w14:paraId="78EB2ECC" w14:textId="5546FDEF" w:rsidR="007C7669" w:rsidRPr="00E54537" w:rsidRDefault="007C7669" w:rsidP="007C7669">
            <w:pPr>
              <w:pStyle w:val="MDPI42tablebody"/>
              <w:jc w:val="left"/>
              <w:rPr>
                <w:sz w:val="16"/>
                <w:szCs w:val="16"/>
              </w:rPr>
            </w:pPr>
            <w:r w:rsidRPr="00E54537">
              <w:rPr>
                <w:sz w:val="16"/>
                <w:szCs w:val="16"/>
              </w:rPr>
              <w:t>Mean 240 days</w:t>
            </w:r>
          </w:p>
        </w:tc>
        <w:tc>
          <w:tcPr>
            <w:tcW w:w="2765" w:type="pct"/>
          </w:tcPr>
          <w:p w14:paraId="716F3820" w14:textId="0CB0F1E7" w:rsidR="007C7669" w:rsidRPr="00E54537" w:rsidRDefault="007C7669" w:rsidP="007C7669">
            <w:pPr>
              <w:pStyle w:val="MDPI42tablebody"/>
              <w:jc w:val="both"/>
              <w:rPr>
                <w:sz w:val="16"/>
                <w:szCs w:val="16"/>
              </w:rPr>
            </w:pPr>
            <w:r w:rsidRPr="00E54537">
              <w:rPr>
                <w:sz w:val="16"/>
                <w:szCs w:val="16"/>
              </w:rPr>
              <w:t>Patients with SARS-CoV-2 infection had statistically significant more outpatient visits (rate ratios 1.05, 95%CI: 1.04-1,05), ED visits (rate ratios 1,03, 95%CI: 1,01-1,05), and long-term care days (rate ratios 2,23, 95%CI: 2,01-2,48) compared with patients with negative SARS-CoV-2 test results.</w:t>
            </w:r>
          </w:p>
        </w:tc>
      </w:tr>
      <w:tr w:rsidR="007C7669" w:rsidRPr="00E54537" w14:paraId="35E910D8" w14:textId="77777777" w:rsidTr="00C62F56">
        <w:trPr>
          <w:trHeight w:val="373"/>
          <w:jc w:val="right"/>
        </w:trPr>
        <w:tc>
          <w:tcPr>
            <w:tcW w:w="549" w:type="pct"/>
          </w:tcPr>
          <w:p w14:paraId="7F0B508F" w14:textId="2581FCDE" w:rsidR="007C7669" w:rsidRPr="00E54537" w:rsidRDefault="007C7669" w:rsidP="007C7669">
            <w:pPr>
              <w:pStyle w:val="MDPI42tablebody"/>
              <w:jc w:val="left"/>
              <w:rPr>
                <w:sz w:val="16"/>
                <w:szCs w:val="16"/>
              </w:rPr>
            </w:pPr>
            <w:r w:rsidRPr="00E54537">
              <w:rPr>
                <w:sz w:val="16"/>
                <w:szCs w:val="16"/>
              </w:rPr>
              <w:t>Magnusson 2022</w:t>
            </w:r>
          </w:p>
        </w:tc>
        <w:tc>
          <w:tcPr>
            <w:tcW w:w="1131" w:type="pct"/>
          </w:tcPr>
          <w:p w14:paraId="06CEAA6B"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Positive SARS-CoV-2 tests results</w:t>
            </w:r>
          </w:p>
          <w:p w14:paraId="416C6F36"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Negative SARS-CoV-2 test results</w:t>
            </w:r>
          </w:p>
          <w:p w14:paraId="701E7F6D" w14:textId="77F34820" w:rsidR="007C7669" w:rsidRPr="00E54537" w:rsidRDefault="007C7669" w:rsidP="007C7669">
            <w:pPr>
              <w:pStyle w:val="MDPI42tablebody"/>
              <w:numPr>
                <w:ilvl w:val="0"/>
                <w:numId w:val="41"/>
              </w:numPr>
              <w:ind w:left="113" w:hanging="113"/>
              <w:jc w:val="left"/>
              <w:rPr>
                <w:sz w:val="16"/>
                <w:szCs w:val="16"/>
              </w:rPr>
            </w:pPr>
            <w:r w:rsidRPr="00E54537">
              <w:rPr>
                <w:sz w:val="16"/>
                <w:szCs w:val="16"/>
              </w:rPr>
              <w:t>Untested controls</w:t>
            </w:r>
          </w:p>
        </w:tc>
        <w:tc>
          <w:tcPr>
            <w:tcW w:w="555" w:type="pct"/>
          </w:tcPr>
          <w:p w14:paraId="5D0B592E" w14:textId="4B22E7D7" w:rsidR="007C7669" w:rsidRPr="00E54537" w:rsidRDefault="007C7669" w:rsidP="007C7669">
            <w:pPr>
              <w:pStyle w:val="MDPI42tablebody"/>
              <w:jc w:val="left"/>
              <w:rPr>
                <w:sz w:val="16"/>
                <w:szCs w:val="16"/>
              </w:rPr>
            </w:pPr>
            <w:r w:rsidRPr="00E54537">
              <w:rPr>
                <w:sz w:val="16"/>
                <w:szCs w:val="16"/>
              </w:rPr>
              <w:t>24 weeks</w:t>
            </w:r>
          </w:p>
        </w:tc>
        <w:tc>
          <w:tcPr>
            <w:tcW w:w="2765" w:type="pct"/>
          </w:tcPr>
          <w:p w14:paraId="176918CC" w14:textId="33F6E227" w:rsidR="007C7669" w:rsidRPr="00E54537" w:rsidRDefault="007C7669" w:rsidP="007C7669">
            <w:pPr>
              <w:pStyle w:val="MDPI42tablebody"/>
              <w:jc w:val="both"/>
              <w:rPr>
                <w:sz w:val="16"/>
                <w:szCs w:val="16"/>
              </w:rPr>
            </w:pPr>
            <w:r w:rsidRPr="00E54537">
              <w:rPr>
                <w:sz w:val="16"/>
                <w:szCs w:val="16"/>
              </w:rPr>
              <w:t xml:space="preserve">The percentage of </w:t>
            </w:r>
            <w:r w:rsidR="004C4B24" w:rsidRPr="00E54537">
              <w:rPr>
                <w:sz w:val="16"/>
                <w:szCs w:val="16"/>
              </w:rPr>
              <w:t>pediatric</w:t>
            </w:r>
            <w:r w:rsidRPr="00E54537">
              <w:rPr>
                <w:sz w:val="16"/>
                <w:szCs w:val="16"/>
              </w:rPr>
              <w:t xml:space="preserve"> patients diagnosed with COVID-19 who used primary care declined steadily from 1 week after positive SARS-CoV-2 test results; by 9–12 and 13–24 weeks, levels were similar to those observed before the SARS-CoV-2 infection. No increased use of specialist care was observed among the study groups.</w:t>
            </w:r>
          </w:p>
        </w:tc>
      </w:tr>
      <w:tr w:rsidR="007C7669" w:rsidRPr="00E54537" w14:paraId="07F64A15" w14:textId="77777777" w:rsidTr="00C62F56">
        <w:trPr>
          <w:trHeight w:val="373"/>
          <w:jc w:val="right"/>
        </w:trPr>
        <w:tc>
          <w:tcPr>
            <w:tcW w:w="549" w:type="pct"/>
          </w:tcPr>
          <w:p w14:paraId="33C7C838" w14:textId="3D411C78" w:rsidR="007C7669" w:rsidRPr="00E54537" w:rsidRDefault="007C7669" w:rsidP="007C7669">
            <w:pPr>
              <w:pStyle w:val="MDPI42tablebody"/>
              <w:jc w:val="left"/>
              <w:rPr>
                <w:sz w:val="16"/>
                <w:szCs w:val="16"/>
              </w:rPr>
            </w:pPr>
            <w:r w:rsidRPr="00E54537">
              <w:rPr>
                <w:sz w:val="16"/>
                <w:szCs w:val="16"/>
              </w:rPr>
              <w:t>Gordon 2023</w:t>
            </w:r>
          </w:p>
        </w:tc>
        <w:tc>
          <w:tcPr>
            <w:tcW w:w="1131" w:type="pct"/>
          </w:tcPr>
          <w:p w14:paraId="1B729E12" w14:textId="77777777" w:rsidR="007C7669" w:rsidRPr="00E54537" w:rsidRDefault="007C7669" w:rsidP="007C7669">
            <w:pPr>
              <w:pStyle w:val="MDPI42tablebody"/>
              <w:numPr>
                <w:ilvl w:val="0"/>
                <w:numId w:val="41"/>
              </w:numPr>
              <w:ind w:left="113" w:hanging="113"/>
              <w:jc w:val="left"/>
              <w:rPr>
                <w:sz w:val="16"/>
                <w:szCs w:val="16"/>
              </w:rPr>
            </w:pPr>
            <w:r w:rsidRPr="00E54537">
              <w:rPr>
                <w:sz w:val="16"/>
                <w:szCs w:val="16"/>
              </w:rPr>
              <w:t>COVID-19</w:t>
            </w:r>
          </w:p>
          <w:p w14:paraId="1258E30A" w14:textId="1726D48F" w:rsidR="007C7669" w:rsidRPr="00E54537" w:rsidRDefault="007C7669" w:rsidP="007C7669">
            <w:pPr>
              <w:pStyle w:val="MDPI42tablebody"/>
              <w:numPr>
                <w:ilvl w:val="0"/>
                <w:numId w:val="41"/>
              </w:numPr>
              <w:ind w:left="113" w:hanging="113"/>
              <w:jc w:val="left"/>
              <w:rPr>
                <w:sz w:val="16"/>
                <w:szCs w:val="16"/>
              </w:rPr>
            </w:pPr>
            <w:r w:rsidRPr="00E54537">
              <w:rPr>
                <w:sz w:val="16"/>
                <w:szCs w:val="16"/>
              </w:rPr>
              <w:t>Without COVID-19</w:t>
            </w:r>
          </w:p>
        </w:tc>
        <w:tc>
          <w:tcPr>
            <w:tcW w:w="555" w:type="pct"/>
          </w:tcPr>
          <w:p w14:paraId="770AB02D" w14:textId="522A4716" w:rsidR="007C7669" w:rsidRPr="00E54537" w:rsidRDefault="007C7669" w:rsidP="007C7669">
            <w:pPr>
              <w:pStyle w:val="MDPI42tablebody"/>
              <w:jc w:val="left"/>
              <w:rPr>
                <w:sz w:val="16"/>
                <w:szCs w:val="16"/>
              </w:rPr>
            </w:pPr>
            <w:r w:rsidRPr="00E54537">
              <w:rPr>
                <w:sz w:val="16"/>
                <w:szCs w:val="16"/>
              </w:rPr>
              <w:t>3-6 months after infection</w:t>
            </w:r>
          </w:p>
        </w:tc>
        <w:tc>
          <w:tcPr>
            <w:tcW w:w="2765" w:type="pct"/>
          </w:tcPr>
          <w:p w14:paraId="103B6C2A" w14:textId="79221EFF" w:rsidR="007C7669" w:rsidRPr="00E54537" w:rsidRDefault="007C7669" w:rsidP="007C7669">
            <w:pPr>
              <w:pStyle w:val="MDPI42tablebody"/>
              <w:jc w:val="both"/>
              <w:rPr>
                <w:sz w:val="16"/>
                <w:szCs w:val="16"/>
              </w:rPr>
            </w:pPr>
            <w:r w:rsidRPr="00E54537">
              <w:rPr>
                <w:sz w:val="16"/>
                <w:szCs w:val="16"/>
              </w:rPr>
              <w:t xml:space="preserve">In a US </w:t>
            </w:r>
            <w:r w:rsidR="004C4B24" w:rsidRPr="00E54537">
              <w:rPr>
                <w:sz w:val="16"/>
                <w:szCs w:val="16"/>
              </w:rPr>
              <w:t>pediatric</w:t>
            </w:r>
            <w:r w:rsidRPr="00E54537">
              <w:rPr>
                <w:sz w:val="16"/>
                <w:szCs w:val="16"/>
              </w:rPr>
              <w:t xml:space="preserve"> cohort study, the mean rate (per 100 children) of outpatient office visits was slightly lower in the COVID-19 group (RD = 0.99; p = 0.008).</w:t>
            </w:r>
          </w:p>
          <w:p w14:paraId="70159B5E" w14:textId="0E0F6F70" w:rsidR="007C7669" w:rsidRPr="00E54537" w:rsidRDefault="007C7669" w:rsidP="007C7669">
            <w:pPr>
              <w:pStyle w:val="MDPI42tablebody"/>
              <w:jc w:val="both"/>
              <w:rPr>
                <w:sz w:val="16"/>
                <w:szCs w:val="16"/>
              </w:rPr>
            </w:pPr>
            <w:r w:rsidRPr="00E54537">
              <w:rPr>
                <w:sz w:val="16"/>
                <w:szCs w:val="16"/>
              </w:rPr>
              <w:t xml:space="preserve">ED </w:t>
            </w:r>
            <w:r w:rsidR="004C4B24" w:rsidRPr="00E54537">
              <w:rPr>
                <w:sz w:val="16"/>
                <w:szCs w:val="16"/>
              </w:rPr>
              <w:t>utilization</w:t>
            </w:r>
            <w:r w:rsidRPr="00E54537">
              <w:rPr>
                <w:sz w:val="16"/>
                <w:szCs w:val="16"/>
              </w:rPr>
              <w:t xml:space="preserve"> was similar between groups (RD=0.94; p=0.158)</w:t>
            </w:r>
          </w:p>
        </w:tc>
      </w:tr>
    </w:tbl>
    <w:p w14:paraId="3484736C" w14:textId="6E231EA3" w:rsidR="00C833C0" w:rsidRPr="00E54537" w:rsidRDefault="00484B9D" w:rsidP="00EC5B81">
      <w:pPr>
        <w:pStyle w:val="MDPI31text"/>
        <w:ind w:left="0" w:firstLine="0"/>
        <w:rPr>
          <w:sz w:val="16"/>
          <w:szCs w:val="16"/>
        </w:rPr>
      </w:pPr>
      <w:r w:rsidRPr="00E54537">
        <w:rPr>
          <w:sz w:val="16"/>
          <w:szCs w:val="16"/>
        </w:rPr>
        <w:t xml:space="preserve">Abbreviations: </w:t>
      </w:r>
      <w:r w:rsidR="00A80737" w:rsidRPr="00E54537">
        <w:rPr>
          <w:sz w:val="16"/>
          <w:szCs w:val="16"/>
        </w:rPr>
        <w:t>H</w:t>
      </w:r>
      <w:r w:rsidRPr="00E54537">
        <w:rPr>
          <w:sz w:val="16"/>
          <w:szCs w:val="16"/>
        </w:rPr>
        <w:t>R,</w:t>
      </w:r>
      <w:r w:rsidR="00A80737" w:rsidRPr="00E54537">
        <w:rPr>
          <w:sz w:val="16"/>
          <w:szCs w:val="16"/>
        </w:rPr>
        <w:t xml:space="preserve"> hazard ratio; IRR</w:t>
      </w:r>
      <w:r w:rsidRPr="00E54537">
        <w:rPr>
          <w:sz w:val="16"/>
          <w:szCs w:val="16"/>
        </w:rPr>
        <w:t>,</w:t>
      </w:r>
      <w:r w:rsidR="00A80737" w:rsidRPr="00E54537">
        <w:rPr>
          <w:sz w:val="16"/>
          <w:szCs w:val="16"/>
        </w:rPr>
        <w:t xml:space="preserve"> incidence rate ratio</w:t>
      </w:r>
      <w:r w:rsidR="002267B0" w:rsidRPr="00E54537">
        <w:rPr>
          <w:sz w:val="16"/>
          <w:szCs w:val="16"/>
        </w:rPr>
        <w:t>; ED</w:t>
      </w:r>
      <w:r w:rsidRPr="00E54537">
        <w:rPr>
          <w:sz w:val="16"/>
          <w:szCs w:val="16"/>
        </w:rPr>
        <w:t>,</w:t>
      </w:r>
      <w:r w:rsidR="002267B0" w:rsidRPr="00E54537">
        <w:rPr>
          <w:sz w:val="16"/>
          <w:szCs w:val="16"/>
        </w:rPr>
        <w:t xml:space="preserve"> emergency department</w:t>
      </w:r>
      <w:r w:rsidR="00D52771" w:rsidRPr="00E54537">
        <w:rPr>
          <w:sz w:val="16"/>
          <w:szCs w:val="16"/>
        </w:rPr>
        <w:t>; ICU</w:t>
      </w:r>
      <w:r w:rsidRPr="00E54537">
        <w:rPr>
          <w:sz w:val="16"/>
          <w:szCs w:val="16"/>
        </w:rPr>
        <w:t>,</w:t>
      </w:r>
      <w:r w:rsidR="00D52771" w:rsidRPr="00E54537">
        <w:rPr>
          <w:sz w:val="16"/>
          <w:szCs w:val="16"/>
        </w:rPr>
        <w:t xml:space="preserve"> intensive care unit</w:t>
      </w:r>
      <w:r w:rsidR="00257BD1" w:rsidRPr="00E54537">
        <w:rPr>
          <w:sz w:val="16"/>
          <w:szCs w:val="16"/>
        </w:rPr>
        <w:t>; SD</w:t>
      </w:r>
      <w:r w:rsidRPr="00E54537">
        <w:rPr>
          <w:sz w:val="16"/>
          <w:szCs w:val="16"/>
        </w:rPr>
        <w:t>,</w:t>
      </w:r>
      <w:r w:rsidR="00257BD1" w:rsidRPr="00E54537">
        <w:rPr>
          <w:sz w:val="16"/>
          <w:szCs w:val="16"/>
        </w:rPr>
        <w:t xml:space="preserve"> standard deviation</w:t>
      </w:r>
    </w:p>
    <w:p w14:paraId="6E567089" w14:textId="4806C9D8" w:rsidR="00145558" w:rsidRPr="00E54537" w:rsidRDefault="00145558">
      <w:pPr>
        <w:spacing w:line="240" w:lineRule="auto"/>
        <w:jc w:val="left"/>
        <w:rPr>
          <w:rFonts w:eastAsia="Times New Roman"/>
          <w:b/>
          <w:snapToGrid w:val="0"/>
          <w:szCs w:val="22"/>
          <w:lang w:eastAsia="de-DE" w:bidi="en-US"/>
        </w:rPr>
      </w:pPr>
      <w:r w:rsidRPr="00E54537">
        <w:rPr>
          <w:b/>
        </w:rPr>
        <w:br w:type="page"/>
      </w:r>
    </w:p>
    <w:p w14:paraId="14EB75FE" w14:textId="69D4606F" w:rsidR="00A15B73" w:rsidRPr="00E54537" w:rsidRDefault="008621CE" w:rsidP="00A15B73">
      <w:pPr>
        <w:pStyle w:val="MDPI31text"/>
        <w:ind w:left="0" w:firstLine="0"/>
      </w:pPr>
      <w:r w:rsidRPr="00E54537">
        <w:rPr>
          <w:b/>
        </w:rPr>
        <w:t xml:space="preserve">Supplementary </w:t>
      </w:r>
      <w:r w:rsidR="00A15B73" w:rsidRPr="00E54537">
        <w:rPr>
          <w:b/>
        </w:rPr>
        <w:t>Table</w:t>
      </w:r>
      <w:r w:rsidR="00A15B73" w:rsidRPr="00E54537">
        <w:t xml:space="preserve"> </w:t>
      </w:r>
      <w:r w:rsidR="006659D9" w:rsidRPr="00E54537">
        <w:rPr>
          <w:b/>
          <w:bCs/>
        </w:rPr>
        <w:t>6</w:t>
      </w:r>
      <w:r w:rsidR="00A15B73" w:rsidRPr="00E54537">
        <w:rPr>
          <w:b/>
          <w:bCs/>
        </w:rPr>
        <w:t>.</w:t>
      </w:r>
      <w:r w:rsidR="00A15B73" w:rsidRPr="00E54537">
        <w:t xml:space="preserve"> </w:t>
      </w:r>
      <w:r w:rsidR="00184C20" w:rsidRPr="00E54537">
        <w:rPr>
          <w:b/>
        </w:rPr>
        <w:t xml:space="preserve">Summary of study results on </w:t>
      </w:r>
      <w:r w:rsidR="00184C20" w:rsidRPr="00E54537">
        <w:rPr>
          <w:b/>
          <w:bCs/>
        </w:rPr>
        <w:t>long-term healthcare costs in patients with long COVID or with persistent symptoms of COVID-19</w:t>
      </w:r>
    </w:p>
    <w:tbl>
      <w:tblPr>
        <w:tblStyle w:val="TableGrid"/>
        <w:tblW w:w="5000" w:type="pct"/>
        <w:jc w:val="right"/>
        <w:tblLook w:val="0420" w:firstRow="1" w:lastRow="0" w:firstColumn="0" w:lastColumn="0" w:noHBand="0" w:noVBand="1"/>
      </w:tblPr>
      <w:tblGrid>
        <w:gridCol w:w="1534"/>
        <w:gridCol w:w="2832"/>
        <w:gridCol w:w="1582"/>
        <w:gridCol w:w="8385"/>
      </w:tblGrid>
      <w:tr w:rsidR="00A15B73" w:rsidRPr="00E54537" w14:paraId="3909CBDE" w14:textId="77777777" w:rsidTr="00184C20">
        <w:trPr>
          <w:tblHeader/>
          <w:jc w:val="right"/>
        </w:trPr>
        <w:tc>
          <w:tcPr>
            <w:tcW w:w="535" w:type="pct"/>
            <w:hideMark/>
          </w:tcPr>
          <w:p w14:paraId="281A443A" w14:textId="77777777" w:rsidR="00A15B73" w:rsidRPr="00E54537" w:rsidRDefault="00A15B73" w:rsidP="008D0BFE">
            <w:pPr>
              <w:pStyle w:val="MDPI42tablebody"/>
              <w:jc w:val="left"/>
              <w:rPr>
                <w:b/>
                <w:bCs/>
                <w:sz w:val="16"/>
                <w:szCs w:val="16"/>
              </w:rPr>
            </w:pPr>
            <w:r w:rsidRPr="00E54537">
              <w:rPr>
                <w:b/>
                <w:bCs/>
                <w:sz w:val="16"/>
                <w:szCs w:val="16"/>
              </w:rPr>
              <w:t>Study</w:t>
            </w:r>
          </w:p>
        </w:tc>
        <w:tc>
          <w:tcPr>
            <w:tcW w:w="988" w:type="pct"/>
            <w:hideMark/>
          </w:tcPr>
          <w:p w14:paraId="12B82C55" w14:textId="77777777" w:rsidR="00A15B73" w:rsidRPr="00E54537" w:rsidRDefault="00A15B73" w:rsidP="008D0BFE">
            <w:pPr>
              <w:pStyle w:val="MDPI42tablebody"/>
              <w:jc w:val="left"/>
              <w:rPr>
                <w:b/>
                <w:bCs/>
                <w:sz w:val="16"/>
                <w:szCs w:val="16"/>
              </w:rPr>
            </w:pPr>
            <w:r w:rsidRPr="00E54537">
              <w:rPr>
                <w:b/>
                <w:bCs/>
                <w:sz w:val="16"/>
                <w:szCs w:val="16"/>
              </w:rPr>
              <w:t>Study arm(s)</w:t>
            </w:r>
          </w:p>
        </w:tc>
        <w:tc>
          <w:tcPr>
            <w:tcW w:w="552" w:type="pct"/>
          </w:tcPr>
          <w:p w14:paraId="3E896264" w14:textId="77777777" w:rsidR="00A15B73" w:rsidRPr="00E54537" w:rsidRDefault="00A15B73" w:rsidP="008D0BFE">
            <w:pPr>
              <w:pStyle w:val="MDPI42tablebody"/>
              <w:jc w:val="left"/>
              <w:rPr>
                <w:b/>
                <w:bCs/>
                <w:sz w:val="16"/>
                <w:szCs w:val="16"/>
              </w:rPr>
            </w:pPr>
            <w:r w:rsidRPr="00E54537">
              <w:rPr>
                <w:b/>
                <w:bCs/>
                <w:sz w:val="16"/>
                <w:szCs w:val="16"/>
              </w:rPr>
              <w:t>Follow-up</w:t>
            </w:r>
          </w:p>
        </w:tc>
        <w:tc>
          <w:tcPr>
            <w:tcW w:w="2925" w:type="pct"/>
          </w:tcPr>
          <w:p w14:paraId="379061EE" w14:textId="77777777" w:rsidR="00A15B73" w:rsidRPr="00E54537" w:rsidRDefault="00A15B73" w:rsidP="008D0BFE">
            <w:pPr>
              <w:pStyle w:val="MDPI42tablebody"/>
              <w:jc w:val="left"/>
              <w:rPr>
                <w:b/>
                <w:bCs/>
                <w:sz w:val="16"/>
                <w:szCs w:val="16"/>
              </w:rPr>
            </w:pPr>
            <w:r w:rsidRPr="00E54537">
              <w:rPr>
                <w:b/>
                <w:bCs/>
                <w:sz w:val="16"/>
                <w:szCs w:val="16"/>
              </w:rPr>
              <w:t>Results</w:t>
            </w:r>
          </w:p>
        </w:tc>
      </w:tr>
      <w:tr w:rsidR="00A15B73" w:rsidRPr="00E54537" w14:paraId="486E7DEA" w14:textId="77777777" w:rsidTr="00145558">
        <w:trPr>
          <w:trHeight w:val="362"/>
          <w:jc w:val="right"/>
        </w:trPr>
        <w:tc>
          <w:tcPr>
            <w:tcW w:w="5000" w:type="pct"/>
            <w:gridSpan w:val="4"/>
            <w:shd w:val="clear" w:color="auto" w:fill="D9D9D9" w:themeFill="background1" w:themeFillShade="D9"/>
            <w:hideMark/>
          </w:tcPr>
          <w:p w14:paraId="47DEC669" w14:textId="77777777" w:rsidR="00A15B73" w:rsidRPr="00E54537" w:rsidRDefault="00A15B73" w:rsidP="008D0BFE">
            <w:pPr>
              <w:pStyle w:val="MDPI42tablebody"/>
              <w:jc w:val="left"/>
              <w:rPr>
                <w:b/>
                <w:bCs/>
                <w:sz w:val="16"/>
                <w:szCs w:val="16"/>
              </w:rPr>
            </w:pPr>
            <w:r w:rsidRPr="00E54537">
              <w:rPr>
                <w:b/>
                <w:bCs/>
                <w:sz w:val="16"/>
                <w:szCs w:val="16"/>
              </w:rPr>
              <w:t>Overall</w:t>
            </w:r>
          </w:p>
        </w:tc>
      </w:tr>
      <w:tr w:rsidR="004F0E1D" w:rsidRPr="00E54537" w14:paraId="427ED738" w14:textId="77777777" w:rsidTr="00145558">
        <w:trPr>
          <w:trHeight w:val="373"/>
          <w:jc w:val="right"/>
        </w:trPr>
        <w:tc>
          <w:tcPr>
            <w:tcW w:w="5000" w:type="pct"/>
            <w:gridSpan w:val="4"/>
          </w:tcPr>
          <w:p w14:paraId="1762C07A" w14:textId="2203E73D" w:rsidR="004F0E1D" w:rsidRPr="00E54537" w:rsidRDefault="00145558" w:rsidP="008D0BFE">
            <w:pPr>
              <w:pStyle w:val="MDPI42tablebody"/>
              <w:jc w:val="both"/>
              <w:rPr>
                <w:sz w:val="16"/>
                <w:szCs w:val="16"/>
              </w:rPr>
            </w:pPr>
            <w:r w:rsidRPr="00E54537">
              <w:rPr>
                <w:b/>
                <w:bCs/>
                <w:sz w:val="16"/>
                <w:szCs w:val="16"/>
              </w:rPr>
              <w:t>Long COVID</w:t>
            </w:r>
          </w:p>
        </w:tc>
      </w:tr>
      <w:tr w:rsidR="00A15B73" w:rsidRPr="00E54537" w14:paraId="16BD942A" w14:textId="77777777" w:rsidTr="00C62F56">
        <w:trPr>
          <w:trHeight w:val="766"/>
          <w:jc w:val="right"/>
        </w:trPr>
        <w:tc>
          <w:tcPr>
            <w:tcW w:w="535" w:type="pct"/>
          </w:tcPr>
          <w:p w14:paraId="51E156B1" w14:textId="77777777" w:rsidR="00A15B73" w:rsidRPr="00E54537" w:rsidRDefault="00A15B73" w:rsidP="008D0BFE">
            <w:pPr>
              <w:pStyle w:val="MDPI42tablebody"/>
              <w:jc w:val="left"/>
              <w:rPr>
                <w:sz w:val="16"/>
                <w:szCs w:val="16"/>
              </w:rPr>
            </w:pPr>
            <w:r w:rsidRPr="00E54537">
              <w:rPr>
                <w:sz w:val="16"/>
                <w:szCs w:val="16"/>
              </w:rPr>
              <w:t>Mu 2023</w:t>
            </w:r>
          </w:p>
        </w:tc>
        <w:tc>
          <w:tcPr>
            <w:tcW w:w="988" w:type="pct"/>
          </w:tcPr>
          <w:p w14:paraId="4CC7B897"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Long COVID;</w:t>
            </w:r>
          </w:p>
          <w:p w14:paraId="25014F1A"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 xml:space="preserve">Pre-pandemic (self-controlled); </w:t>
            </w:r>
          </w:p>
          <w:p w14:paraId="3E444E8B"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COVID only, no long COVID;</w:t>
            </w:r>
          </w:p>
          <w:p w14:paraId="5D8609E1"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 xml:space="preserve">Unaffected by pandemic (before Dec 21, 2019; </w:t>
            </w:r>
          </w:p>
          <w:p w14:paraId="7A35DF57"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Contemporary non-COVID</w:t>
            </w:r>
          </w:p>
        </w:tc>
        <w:tc>
          <w:tcPr>
            <w:tcW w:w="552" w:type="pct"/>
          </w:tcPr>
          <w:p w14:paraId="7FC60E4E" w14:textId="77777777" w:rsidR="00A15B73" w:rsidRPr="00E54537" w:rsidRDefault="00A15B73" w:rsidP="008D0BFE">
            <w:pPr>
              <w:pStyle w:val="MDPI42tablebody"/>
              <w:jc w:val="left"/>
              <w:rPr>
                <w:sz w:val="16"/>
                <w:szCs w:val="16"/>
              </w:rPr>
            </w:pPr>
            <w:r w:rsidRPr="00E54537">
              <w:rPr>
                <w:sz w:val="16"/>
                <w:szCs w:val="16"/>
              </w:rPr>
              <w:t>Mean from 395 to 780 days depending on study arm</w:t>
            </w:r>
          </w:p>
        </w:tc>
        <w:tc>
          <w:tcPr>
            <w:tcW w:w="2925" w:type="pct"/>
          </w:tcPr>
          <w:p w14:paraId="6C1FB05B" w14:textId="6731B9D4" w:rsidR="00A15B73" w:rsidRPr="00E54537" w:rsidRDefault="00A15B73" w:rsidP="008D0BFE">
            <w:pPr>
              <w:pStyle w:val="MDPI42tablebody"/>
              <w:jc w:val="both"/>
              <w:rPr>
                <w:sz w:val="16"/>
                <w:szCs w:val="16"/>
              </w:rPr>
            </w:pPr>
            <w:r w:rsidRPr="00E54537">
              <w:rPr>
                <w:sz w:val="16"/>
                <w:szCs w:val="16"/>
              </w:rPr>
              <w:t xml:space="preserve">The cost of care for patients with long COVID diagnoses during the follow-up was £3,335.40 </w:t>
            </w:r>
            <w:r w:rsidR="001B1F7E" w:rsidRPr="00E54537">
              <w:rPr>
                <w:sz w:val="16"/>
                <w:szCs w:val="16"/>
              </w:rPr>
              <w:t>per patient per year</w:t>
            </w:r>
            <w:r w:rsidRPr="00E54537">
              <w:rPr>
                <w:sz w:val="16"/>
                <w:szCs w:val="16"/>
              </w:rPr>
              <w:t xml:space="preserve"> and was nearly four times higher</w:t>
            </w:r>
            <w:r w:rsidRPr="00E54537">
              <w:rPr>
                <w:b/>
                <w:bCs/>
                <w:sz w:val="16"/>
                <w:szCs w:val="16"/>
              </w:rPr>
              <w:t xml:space="preserve"> </w:t>
            </w:r>
            <w:r w:rsidRPr="00E54537">
              <w:rPr>
                <w:sz w:val="16"/>
                <w:szCs w:val="16"/>
              </w:rPr>
              <w:t>than the cost of care for the same individuals before the pandemic and nearly three times more</w:t>
            </w:r>
            <w:r w:rsidRPr="00E54537">
              <w:rPr>
                <w:b/>
                <w:bCs/>
                <w:sz w:val="16"/>
                <w:szCs w:val="16"/>
              </w:rPr>
              <w:t xml:space="preserve"> </w:t>
            </w:r>
            <w:r w:rsidRPr="00E54537">
              <w:rPr>
                <w:sz w:val="16"/>
                <w:szCs w:val="16"/>
              </w:rPr>
              <w:t>than the cost of care for matched patients without a COVID-19 diagnosis before and during the pandemic</w:t>
            </w:r>
            <w:r w:rsidR="00E319BB" w:rsidRPr="00E54537">
              <w:rPr>
                <w:sz w:val="16"/>
                <w:szCs w:val="16"/>
              </w:rPr>
              <w:t>.</w:t>
            </w:r>
          </w:p>
        </w:tc>
      </w:tr>
      <w:tr w:rsidR="00A15B73" w:rsidRPr="00E54537" w14:paraId="1D9EFADB" w14:textId="77777777" w:rsidTr="00C62F56">
        <w:trPr>
          <w:trHeight w:val="373"/>
          <w:jc w:val="right"/>
        </w:trPr>
        <w:tc>
          <w:tcPr>
            <w:tcW w:w="535" w:type="pct"/>
          </w:tcPr>
          <w:p w14:paraId="01E9C18A" w14:textId="77777777" w:rsidR="00A15B73" w:rsidRPr="00E54537" w:rsidRDefault="00A15B73" w:rsidP="008D0BFE">
            <w:pPr>
              <w:pStyle w:val="MDPI42tablebody"/>
              <w:jc w:val="left"/>
              <w:rPr>
                <w:sz w:val="16"/>
                <w:szCs w:val="16"/>
              </w:rPr>
            </w:pPr>
            <w:r w:rsidRPr="00E54537">
              <w:rPr>
                <w:sz w:val="16"/>
                <w:szCs w:val="16"/>
              </w:rPr>
              <w:t>Tene 2023</w:t>
            </w:r>
          </w:p>
        </w:tc>
        <w:tc>
          <w:tcPr>
            <w:tcW w:w="988" w:type="pct"/>
          </w:tcPr>
          <w:p w14:paraId="7FB27A09"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Long COVID;</w:t>
            </w:r>
          </w:p>
          <w:p w14:paraId="7D00A03B"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Non long COVID</w:t>
            </w:r>
          </w:p>
        </w:tc>
        <w:tc>
          <w:tcPr>
            <w:tcW w:w="552" w:type="pct"/>
          </w:tcPr>
          <w:p w14:paraId="1C0FFD09" w14:textId="77777777" w:rsidR="00A15B73" w:rsidRPr="00E54537" w:rsidRDefault="00A15B73" w:rsidP="008D0BFE">
            <w:pPr>
              <w:pStyle w:val="MDPI42tablebody"/>
              <w:jc w:val="left"/>
              <w:rPr>
                <w:sz w:val="16"/>
                <w:szCs w:val="16"/>
              </w:rPr>
            </w:pPr>
            <w:r w:rsidRPr="00E54537">
              <w:rPr>
                <w:sz w:val="16"/>
                <w:szCs w:val="16"/>
              </w:rPr>
              <w:t>12 months</w:t>
            </w:r>
          </w:p>
        </w:tc>
        <w:tc>
          <w:tcPr>
            <w:tcW w:w="2925" w:type="pct"/>
          </w:tcPr>
          <w:p w14:paraId="2C6AF0A7" w14:textId="35F0CB77" w:rsidR="00A15B73" w:rsidRPr="00E54537" w:rsidRDefault="00A15B73" w:rsidP="008D0BFE">
            <w:pPr>
              <w:pStyle w:val="MDPI42tablebody"/>
              <w:jc w:val="left"/>
              <w:rPr>
                <w:sz w:val="16"/>
                <w:szCs w:val="16"/>
              </w:rPr>
            </w:pPr>
            <w:r w:rsidRPr="00E54537">
              <w:rPr>
                <w:sz w:val="16"/>
                <w:szCs w:val="16"/>
              </w:rPr>
              <w:t>The relative adjusted increase in mean total monthly healthcare costs among patients with long COVID compared to patients without long COVID diagnosis was 1.74, 1.72, and 1.89 at 4-, 6-, and 12-month follow-ups, respectively</w:t>
            </w:r>
            <w:r w:rsidR="00E319BB" w:rsidRPr="00E54537">
              <w:rPr>
                <w:sz w:val="16"/>
                <w:szCs w:val="16"/>
              </w:rPr>
              <w:t>.</w:t>
            </w:r>
          </w:p>
        </w:tc>
      </w:tr>
      <w:tr w:rsidR="00A15B73" w:rsidRPr="00E54537" w14:paraId="3F546A9C" w14:textId="77777777" w:rsidTr="00C62F56">
        <w:trPr>
          <w:trHeight w:val="373"/>
          <w:jc w:val="right"/>
        </w:trPr>
        <w:tc>
          <w:tcPr>
            <w:tcW w:w="535" w:type="pct"/>
          </w:tcPr>
          <w:p w14:paraId="770A6245" w14:textId="77777777" w:rsidR="00A15B73" w:rsidRPr="00E54537" w:rsidRDefault="00A15B73" w:rsidP="008D0BFE">
            <w:pPr>
              <w:pStyle w:val="MDPI42tablebody"/>
              <w:jc w:val="left"/>
              <w:rPr>
                <w:sz w:val="16"/>
                <w:szCs w:val="16"/>
              </w:rPr>
            </w:pPr>
            <w:r w:rsidRPr="00E54537">
              <w:rPr>
                <w:sz w:val="16"/>
                <w:szCs w:val="16"/>
              </w:rPr>
              <w:t>Patterson 2022</w:t>
            </w:r>
          </w:p>
        </w:tc>
        <w:tc>
          <w:tcPr>
            <w:tcW w:w="988" w:type="pct"/>
          </w:tcPr>
          <w:p w14:paraId="6468F28A"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 xml:space="preserve">Long COVID; </w:t>
            </w:r>
          </w:p>
          <w:p w14:paraId="292D938B"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Ongoing COVID symptoms (lasting 4 to 12 weeks after onset of the disease);</w:t>
            </w:r>
          </w:p>
          <w:p w14:paraId="5481F531" w14:textId="77777777" w:rsidR="00A15B73" w:rsidRPr="00E54537" w:rsidRDefault="00A15B73" w:rsidP="008621CE">
            <w:pPr>
              <w:pStyle w:val="MDPI42tablebody"/>
              <w:numPr>
                <w:ilvl w:val="0"/>
                <w:numId w:val="41"/>
              </w:numPr>
              <w:ind w:left="113" w:hanging="113"/>
              <w:jc w:val="left"/>
              <w:rPr>
                <w:sz w:val="16"/>
                <w:szCs w:val="16"/>
              </w:rPr>
            </w:pPr>
            <w:r w:rsidRPr="00E54537">
              <w:rPr>
                <w:sz w:val="16"/>
                <w:szCs w:val="16"/>
              </w:rPr>
              <w:t>Non long COVID (lasting &lt;4 weeks after onset of the disease)</w:t>
            </w:r>
          </w:p>
        </w:tc>
        <w:tc>
          <w:tcPr>
            <w:tcW w:w="552" w:type="pct"/>
          </w:tcPr>
          <w:p w14:paraId="18A82D66" w14:textId="77777777" w:rsidR="00A15B73" w:rsidRPr="00E54537" w:rsidRDefault="00A15B73" w:rsidP="008D0BFE">
            <w:pPr>
              <w:pStyle w:val="MDPI42tablebody"/>
              <w:jc w:val="left"/>
              <w:rPr>
                <w:sz w:val="16"/>
                <w:szCs w:val="16"/>
              </w:rPr>
            </w:pPr>
            <w:r w:rsidRPr="00E54537">
              <w:rPr>
                <w:sz w:val="16"/>
                <w:szCs w:val="16"/>
              </w:rPr>
              <w:t>NA</w:t>
            </w:r>
          </w:p>
        </w:tc>
        <w:tc>
          <w:tcPr>
            <w:tcW w:w="2925" w:type="pct"/>
          </w:tcPr>
          <w:p w14:paraId="06E2584E" w14:textId="77777777" w:rsidR="00A15B73" w:rsidRPr="00E54537" w:rsidRDefault="00A15B73" w:rsidP="008D0BFE">
            <w:pPr>
              <w:pStyle w:val="MDPI42tablebody"/>
              <w:jc w:val="both"/>
              <w:rPr>
                <w:sz w:val="16"/>
                <w:szCs w:val="16"/>
              </w:rPr>
            </w:pPr>
            <w:r w:rsidRPr="00E54537">
              <w:rPr>
                <w:sz w:val="16"/>
                <w:szCs w:val="16"/>
              </w:rPr>
              <w:t>Incremental all-cause and disease-specific costs for commercial long COVID patients compared with patients with duration of COVID-19 symptoms &lt;4 weeks were $94,839 (95%CI: $88,029-$101,649) and $50,736 (95%CI: $45,337-$56,136), respectively.</w:t>
            </w:r>
          </w:p>
          <w:p w14:paraId="34626F4B" w14:textId="77777777" w:rsidR="00A15B73" w:rsidRPr="00E54537" w:rsidRDefault="00A15B73" w:rsidP="008D0BFE">
            <w:pPr>
              <w:pStyle w:val="MDPI42tablebody"/>
              <w:jc w:val="both"/>
              <w:rPr>
                <w:sz w:val="16"/>
                <w:szCs w:val="16"/>
              </w:rPr>
            </w:pPr>
            <w:r w:rsidRPr="00E54537">
              <w:rPr>
                <w:sz w:val="16"/>
                <w:szCs w:val="16"/>
              </w:rPr>
              <w:t>Incremental all-cause and disease-specific costs for Medicare long COVID patients compared with patients with duration of COVID-19 symptoms &lt;4 weeks were $48,036 (95%CI: $45,199-$50,872) and $20,124 (95%CI: $17,742-$22,507), respectively.</w:t>
            </w:r>
          </w:p>
        </w:tc>
      </w:tr>
      <w:tr w:rsidR="00145558" w:rsidRPr="00E54537" w14:paraId="282D0797" w14:textId="77777777" w:rsidTr="00145558">
        <w:trPr>
          <w:trHeight w:val="373"/>
          <w:jc w:val="right"/>
        </w:trPr>
        <w:tc>
          <w:tcPr>
            <w:tcW w:w="5000" w:type="pct"/>
            <w:gridSpan w:val="4"/>
          </w:tcPr>
          <w:p w14:paraId="5713A851" w14:textId="62186C3D" w:rsidR="00145558" w:rsidRPr="00E54537" w:rsidRDefault="00145558" w:rsidP="00145558">
            <w:pPr>
              <w:pStyle w:val="MDPI42tablebody"/>
              <w:jc w:val="left"/>
              <w:rPr>
                <w:sz w:val="16"/>
                <w:szCs w:val="16"/>
              </w:rPr>
            </w:pPr>
            <w:r w:rsidRPr="00E54537">
              <w:rPr>
                <w:b/>
                <w:bCs/>
                <w:sz w:val="16"/>
                <w:szCs w:val="16"/>
              </w:rPr>
              <w:t xml:space="preserve">Long-term </w:t>
            </w:r>
            <w:r w:rsidR="00C2212C" w:rsidRPr="00E54537">
              <w:rPr>
                <w:b/>
                <w:bCs/>
                <w:sz w:val="16"/>
                <w:szCs w:val="16"/>
              </w:rPr>
              <w:t>costs</w:t>
            </w:r>
            <w:r w:rsidRPr="00E54537">
              <w:rPr>
                <w:b/>
                <w:bCs/>
                <w:sz w:val="16"/>
                <w:szCs w:val="16"/>
              </w:rPr>
              <w:t xml:space="preserve"> in patients with COVID-19</w:t>
            </w:r>
          </w:p>
        </w:tc>
      </w:tr>
      <w:tr w:rsidR="000C0541" w:rsidRPr="00E54537" w14:paraId="16C08A8B" w14:textId="77777777" w:rsidTr="00C62F56">
        <w:trPr>
          <w:trHeight w:val="373"/>
          <w:jc w:val="right"/>
        </w:trPr>
        <w:tc>
          <w:tcPr>
            <w:tcW w:w="535" w:type="pct"/>
          </w:tcPr>
          <w:p w14:paraId="752E1327" w14:textId="42EEBEF1" w:rsidR="000C0541" w:rsidRPr="00E54537" w:rsidRDefault="000C0541" w:rsidP="000C0541">
            <w:pPr>
              <w:pStyle w:val="MDPI42tablebody"/>
              <w:jc w:val="left"/>
              <w:rPr>
                <w:sz w:val="16"/>
                <w:szCs w:val="16"/>
              </w:rPr>
            </w:pPr>
            <w:r w:rsidRPr="00E54537">
              <w:rPr>
                <w:sz w:val="16"/>
                <w:szCs w:val="16"/>
              </w:rPr>
              <w:t>Koumpias 2022</w:t>
            </w:r>
          </w:p>
        </w:tc>
        <w:tc>
          <w:tcPr>
            <w:tcW w:w="988" w:type="pct"/>
          </w:tcPr>
          <w:p w14:paraId="03A1C30C" w14:textId="01335DC1" w:rsidR="000C0541" w:rsidRPr="00E54537" w:rsidRDefault="000C0541" w:rsidP="000C0541">
            <w:pPr>
              <w:pStyle w:val="MDPI42tablebody"/>
              <w:jc w:val="left"/>
              <w:rPr>
                <w:sz w:val="16"/>
                <w:szCs w:val="16"/>
              </w:rPr>
            </w:pPr>
            <w:r w:rsidRPr="00E54537">
              <w:rPr>
                <w:sz w:val="16"/>
                <w:szCs w:val="16"/>
              </w:rPr>
              <w:t>Self-controlled study: pre and post COVID-19 diagnosis</w:t>
            </w:r>
          </w:p>
        </w:tc>
        <w:tc>
          <w:tcPr>
            <w:tcW w:w="552" w:type="pct"/>
          </w:tcPr>
          <w:p w14:paraId="6FC44AD8" w14:textId="2AA077A7" w:rsidR="000C0541" w:rsidRPr="00E54537" w:rsidRDefault="000C0541" w:rsidP="000C0541">
            <w:pPr>
              <w:pStyle w:val="MDPI42tablebody"/>
              <w:jc w:val="left"/>
              <w:rPr>
                <w:sz w:val="16"/>
                <w:szCs w:val="16"/>
              </w:rPr>
            </w:pPr>
            <w:r w:rsidRPr="00E54537">
              <w:rPr>
                <w:sz w:val="16"/>
                <w:szCs w:val="16"/>
              </w:rPr>
              <w:t>6 months before and after COVID-19 diagnosis</w:t>
            </w:r>
          </w:p>
        </w:tc>
        <w:tc>
          <w:tcPr>
            <w:tcW w:w="2925" w:type="pct"/>
          </w:tcPr>
          <w:p w14:paraId="5878361B" w14:textId="182C10D7" w:rsidR="000C0541" w:rsidRPr="00E54537" w:rsidRDefault="00A67909" w:rsidP="000C0541">
            <w:pPr>
              <w:pStyle w:val="MDPI42tablebody"/>
              <w:jc w:val="left"/>
              <w:rPr>
                <w:sz w:val="16"/>
                <w:szCs w:val="16"/>
              </w:rPr>
            </w:pPr>
            <w:r w:rsidRPr="00E54537">
              <w:rPr>
                <w:sz w:val="16"/>
                <w:szCs w:val="16"/>
              </w:rPr>
              <w:t>COVID-19 diagnosis was associated with an additional $223.59 in total monthly medical expenditures, corresponding to a 2.75-fold increase in total healthcare costs compared with the pre-diagnosis level.</w:t>
            </w:r>
            <w:r w:rsidR="004940FD" w:rsidRPr="00E54537">
              <w:rPr>
                <w:sz w:val="16"/>
                <w:szCs w:val="16"/>
              </w:rPr>
              <w:t xml:space="preserve"> Total monthly medical expenditures declined gradually from month to month but remained higher than the pre-diagnosis costs after 6 months of follow-up.</w:t>
            </w:r>
          </w:p>
        </w:tc>
      </w:tr>
      <w:tr w:rsidR="000C0541" w:rsidRPr="00E54537" w14:paraId="3B81DF0F" w14:textId="77777777" w:rsidTr="00C62F56">
        <w:trPr>
          <w:trHeight w:val="373"/>
          <w:jc w:val="right"/>
        </w:trPr>
        <w:tc>
          <w:tcPr>
            <w:tcW w:w="535" w:type="pct"/>
          </w:tcPr>
          <w:p w14:paraId="6288EF5D" w14:textId="5CF4236C" w:rsidR="000C0541" w:rsidRPr="00E54537" w:rsidRDefault="000C0541" w:rsidP="000C0541">
            <w:pPr>
              <w:pStyle w:val="MDPI42tablebody"/>
              <w:jc w:val="left"/>
              <w:rPr>
                <w:sz w:val="16"/>
                <w:szCs w:val="16"/>
              </w:rPr>
            </w:pPr>
            <w:r w:rsidRPr="00E54537">
              <w:rPr>
                <w:sz w:val="16"/>
                <w:szCs w:val="16"/>
              </w:rPr>
              <w:t>Chambers 2023</w:t>
            </w:r>
          </w:p>
        </w:tc>
        <w:tc>
          <w:tcPr>
            <w:tcW w:w="988" w:type="pct"/>
          </w:tcPr>
          <w:p w14:paraId="3F428DB6"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3A53B5E0" w14:textId="0DBA4DAD" w:rsidR="000C0541" w:rsidRPr="00E54537" w:rsidRDefault="000C0541" w:rsidP="000C0541">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38752C37" w14:textId="6E5FEF8C" w:rsidR="000C0541" w:rsidRPr="00E54537" w:rsidRDefault="000C0541" w:rsidP="000C0541">
            <w:pPr>
              <w:pStyle w:val="MDPI42tablebody"/>
              <w:jc w:val="left"/>
              <w:rPr>
                <w:sz w:val="16"/>
                <w:szCs w:val="16"/>
              </w:rPr>
            </w:pPr>
            <w:r w:rsidRPr="00E54537">
              <w:rPr>
                <w:sz w:val="16"/>
                <w:szCs w:val="16"/>
              </w:rPr>
              <w:t>12 months</w:t>
            </w:r>
          </w:p>
        </w:tc>
        <w:tc>
          <w:tcPr>
            <w:tcW w:w="2925" w:type="pct"/>
          </w:tcPr>
          <w:p w14:paraId="760567E0" w14:textId="03136F80" w:rsidR="000C0541" w:rsidRPr="00E54537" w:rsidRDefault="000C0541" w:rsidP="000C0541">
            <w:pPr>
              <w:pStyle w:val="MDPI42tablebody"/>
              <w:jc w:val="both"/>
              <w:rPr>
                <w:sz w:val="16"/>
                <w:szCs w:val="16"/>
              </w:rPr>
            </w:pPr>
            <w:r w:rsidRPr="00E54537">
              <w:rPr>
                <w:sz w:val="16"/>
                <w:szCs w:val="16"/>
              </w:rPr>
              <w:t xml:space="preserve">Among commercial members, from the baseline period to the post period, </w:t>
            </w:r>
            <w:r w:rsidR="001F3408" w:rsidRPr="00E54537">
              <w:rPr>
                <w:sz w:val="16"/>
                <w:szCs w:val="16"/>
              </w:rPr>
              <w:t>healthcare</w:t>
            </w:r>
            <w:r w:rsidRPr="00E54537">
              <w:rPr>
                <w:sz w:val="16"/>
                <w:szCs w:val="16"/>
              </w:rPr>
              <w:t xml:space="preserve"> spending increased $41.61 (7.7%) per member per month more among COVID-19 cases compared with their matched controls. </w:t>
            </w:r>
          </w:p>
          <w:p w14:paraId="022E0BA8" w14:textId="685B2A51" w:rsidR="000C0541" w:rsidRPr="00E54537" w:rsidRDefault="000C0541" w:rsidP="000C0541">
            <w:pPr>
              <w:pStyle w:val="MDPI42tablebody"/>
              <w:jc w:val="both"/>
              <w:rPr>
                <w:sz w:val="16"/>
                <w:szCs w:val="16"/>
              </w:rPr>
            </w:pPr>
            <w:r w:rsidRPr="00E54537">
              <w:rPr>
                <w:sz w:val="16"/>
                <w:szCs w:val="16"/>
              </w:rPr>
              <w:t>Among Medicare Advantage members, total healthcare spending increased $97.30 (13.1%) per member per month more among COVID-19 cases than their matched controls during the post-period compared with the baseline period.</w:t>
            </w:r>
          </w:p>
        </w:tc>
      </w:tr>
      <w:tr w:rsidR="000C0541" w:rsidRPr="00E54537" w14:paraId="1D8DA92C" w14:textId="77777777" w:rsidTr="00C62F56">
        <w:trPr>
          <w:trHeight w:val="373"/>
          <w:jc w:val="right"/>
        </w:trPr>
        <w:tc>
          <w:tcPr>
            <w:tcW w:w="535" w:type="pct"/>
          </w:tcPr>
          <w:p w14:paraId="6A504863" w14:textId="32FCD215" w:rsidR="000C0541" w:rsidRPr="00E54537" w:rsidRDefault="000C0541" w:rsidP="000C0541">
            <w:pPr>
              <w:pStyle w:val="MDPI42tablebody"/>
              <w:jc w:val="left"/>
              <w:rPr>
                <w:sz w:val="16"/>
                <w:szCs w:val="16"/>
              </w:rPr>
            </w:pPr>
            <w:r w:rsidRPr="00E54537">
              <w:rPr>
                <w:sz w:val="16"/>
                <w:szCs w:val="16"/>
              </w:rPr>
              <w:t>Wolff Sagy 2023</w:t>
            </w:r>
          </w:p>
        </w:tc>
        <w:tc>
          <w:tcPr>
            <w:tcW w:w="988" w:type="pct"/>
          </w:tcPr>
          <w:p w14:paraId="69AD1648"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24F5EBF6" w14:textId="3268630F" w:rsidR="000C0541" w:rsidRPr="00E54537" w:rsidRDefault="000C0541" w:rsidP="000C0541">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096A08B9" w14:textId="2F5A484A" w:rsidR="000C0541" w:rsidRPr="00E54537" w:rsidRDefault="000C0541" w:rsidP="000C0541">
            <w:pPr>
              <w:pStyle w:val="MDPI42tablebody"/>
              <w:jc w:val="left"/>
              <w:rPr>
                <w:sz w:val="16"/>
                <w:szCs w:val="16"/>
              </w:rPr>
            </w:pPr>
            <w:r w:rsidRPr="00E54537">
              <w:rPr>
                <w:sz w:val="16"/>
                <w:szCs w:val="16"/>
              </w:rPr>
              <w:t>Median 9 months</w:t>
            </w:r>
          </w:p>
        </w:tc>
        <w:tc>
          <w:tcPr>
            <w:tcW w:w="2925" w:type="pct"/>
          </w:tcPr>
          <w:p w14:paraId="43DD5834" w14:textId="411F2144" w:rsidR="000C0541" w:rsidRPr="00E54537" w:rsidRDefault="000C0541" w:rsidP="000C0541">
            <w:pPr>
              <w:pStyle w:val="MDPI42tablebody"/>
              <w:jc w:val="both"/>
              <w:rPr>
                <w:sz w:val="16"/>
                <w:szCs w:val="16"/>
              </w:rPr>
            </w:pPr>
            <w:r w:rsidRPr="00E54537">
              <w:rPr>
                <w:sz w:val="16"/>
                <w:szCs w:val="16"/>
              </w:rPr>
              <w:t>The mean monthly cost incurred per COVID-19 recoverees over up to 15 months (median 9 months) of post-COVID-19 follow-up was higher by 8.2% (US$8.2) compared with matched controls. The excess cost attributable to post-COVID-19 effects was 7.6% of the cost in controls (US$7.7 per patient per month).</w:t>
            </w:r>
          </w:p>
        </w:tc>
      </w:tr>
      <w:tr w:rsidR="000C0541" w:rsidRPr="00E54537" w14:paraId="5D227AFA" w14:textId="77777777" w:rsidTr="00C62F56">
        <w:trPr>
          <w:trHeight w:val="373"/>
          <w:jc w:val="right"/>
        </w:trPr>
        <w:tc>
          <w:tcPr>
            <w:tcW w:w="535" w:type="pct"/>
          </w:tcPr>
          <w:p w14:paraId="2CF8C499" w14:textId="5F08AEEA" w:rsidR="000C0541" w:rsidRPr="00E54537" w:rsidRDefault="000C0541" w:rsidP="000C0541">
            <w:pPr>
              <w:pStyle w:val="MDPI42tablebody"/>
              <w:jc w:val="left"/>
              <w:rPr>
                <w:sz w:val="16"/>
                <w:szCs w:val="16"/>
              </w:rPr>
            </w:pPr>
            <w:r w:rsidRPr="00E54537">
              <w:rPr>
                <w:sz w:val="16"/>
                <w:szCs w:val="16"/>
              </w:rPr>
              <w:t>Pike 2023</w:t>
            </w:r>
          </w:p>
        </w:tc>
        <w:tc>
          <w:tcPr>
            <w:tcW w:w="988" w:type="pct"/>
          </w:tcPr>
          <w:p w14:paraId="0246EDE9"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5E9AE025" w14:textId="0C85C0ED" w:rsidR="000C0541" w:rsidRPr="00E54537" w:rsidRDefault="000C0541" w:rsidP="000C0541">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7695DEFA" w14:textId="76FFFA4F" w:rsidR="000C0541" w:rsidRPr="00E54537" w:rsidRDefault="000C0541" w:rsidP="000C0541">
            <w:pPr>
              <w:pStyle w:val="MDPI42tablebody"/>
              <w:jc w:val="left"/>
              <w:rPr>
                <w:sz w:val="16"/>
                <w:szCs w:val="16"/>
              </w:rPr>
            </w:pPr>
            <w:r w:rsidRPr="00E54537">
              <w:rPr>
                <w:sz w:val="16"/>
                <w:szCs w:val="16"/>
              </w:rPr>
              <w:t>6 months</w:t>
            </w:r>
          </w:p>
        </w:tc>
        <w:tc>
          <w:tcPr>
            <w:tcW w:w="2925" w:type="pct"/>
          </w:tcPr>
          <w:p w14:paraId="6E982078" w14:textId="25168CE1" w:rsidR="000C0541" w:rsidRPr="00E54537" w:rsidRDefault="000C0541" w:rsidP="000C0541">
            <w:pPr>
              <w:pStyle w:val="MDPI42tablebody"/>
              <w:jc w:val="both"/>
              <w:rPr>
                <w:sz w:val="16"/>
                <w:szCs w:val="16"/>
              </w:rPr>
            </w:pPr>
            <w:r w:rsidRPr="00E54537">
              <w:rPr>
                <w:sz w:val="16"/>
                <w:szCs w:val="16"/>
              </w:rPr>
              <w:t>Among children, excess medical costs during 1, 3, and 6 months were $208 (95% CI: $136–$281), $549 (95% CI: $361–$736), and $1,011 (95% CI: $717–$1,306), respectively. Medical costs were, on average, 1.75 times higher among children with COVID-19 than among children without COVID-19 during the 3 periods. Among adults, excess medical costs during 1, 3, and 6 months were $393 (95% CI, $359–$427), $930 (95% CI, $857–$1,003), and $1,562 (95% CI, $1,451–1,673), respectively. Medical costs were, on average, 1.56 times higher among adults with COVID-19 than among adults without COVID-19 during the 3 periods.</w:t>
            </w:r>
          </w:p>
        </w:tc>
      </w:tr>
      <w:tr w:rsidR="000C0541" w:rsidRPr="00E54537" w14:paraId="76D84397" w14:textId="77777777" w:rsidTr="00C62F56">
        <w:trPr>
          <w:trHeight w:val="373"/>
          <w:jc w:val="right"/>
        </w:trPr>
        <w:tc>
          <w:tcPr>
            <w:tcW w:w="535" w:type="pct"/>
          </w:tcPr>
          <w:p w14:paraId="59225F5C" w14:textId="12F5FBFA" w:rsidR="000C0541" w:rsidRPr="00E54537" w:rsidRDefault="000C0541" w:rsidP="000C0541">
            <w:pPr>
              <w:pStyle w:val="MDPI42tablebody"/>
              <w:jc w:val="left"/>
              <w:rPr>
                <w:sz w:val="16"/>
                <w:szCs w:val="16"/>
              </w:rPr>
            </w:pPr>
            <w:r w:rsidRPr="00E54537">
              <w:rPr>
                <w:sz w:val="16"/>
                <w:szCs w:val="16"/>
              </w:rPr>
              <w:t>DeMartino 2022</w:t>
            </w:r>
          </w:p>
        </w:tc>
        <w:tc>
          <w:tcPr>
            <w:tcW w:w="988" w:type="pct"/>
          </w:tcPr>
          <w:p w14:paraId="0BCC18B8"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16B13E2A" w14:textId="43E6E42B" w:rsidR="000C0541" w:rsidRPr="00E54537" w:rsidRDefault="000C0541" w:rsidP="000C0541">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28AAA0C2" w14:textId="5283E78B" w:rsidR="000C0541" w:rsidRPr="00E54537" w:rsidRDefault="000C0541" w:rsidP="000C0541">
            <w:pPr>
              <w:pStyle w:val="MDPI42tablebody"/>
              <w:jc w:val="left"/>
              <w:rPr>
                <w:sz w:val="16"/>
                <w:szCs w:val="16"/>
              </w:rPr>
            </w:pPr>
            <w:r w:rsidRPr="00E54537">
              <w:rPr>
                <w:sz w:val="16"/>
                <w:szCs w:val="16"/>
              </w:rPr>
              <w:t>6 months</w:t>
            </w:r>
          </w:p>
        </w:tc>
        <w:tc>
          <w:tcPr>
            <w:tcW w:w="2925" w:type="pct"/>
          </w:tcPr>
          <w:p w14:paraId="34E6019A" w14:textId="0B011DB5" w:rsidR="000C0541" w:rsidRPr="00E54537" w:rsidRDefault="000C0541" w:rsidP="000C0541">
            <w:pPr>
              <w:pStyle w:val="MDPI42tablebody"/>
              <w:jc w:val="both"/>
              <w:rPr>
                <w:sz w:val="16"/>
                <w:szCs w:val="16"/>
              </w:rPr>
            </w:pPr>
            <w:r w:rsidRPr="00E54537">
              <w:rPr>
                <w:sz w:val="16"/>
                <w:szCs w:val="16"/>
              </w:rPr>
              <w:t xml:space="preserve">Total healthcare costs in month 1 were significantly higher among patients with COVID-19 than controls (mean differences: $3,706 for commercial; $10,595 for Medicare; both </w:t>
            </w:r>
            <w:r w:rsidRPr="00E54537">
              <w:rPr>
                <w:i/>
                <w:iCs/>
                <w:sz w:val="16"/>
                <w:szCs w:val="16"/>
              </w:rPr>
              <w:t xml:space="preserve">P </w:t>
            </w:r>
            <w:r w:rsidRPr="00E54537">
              <w:rPr>
                <w:sz w:val="16"/>
                <w:szCs w:val="16"/>
              </w:rPr>
              <w:t>&lt; 0.001), driven by inpatient costs.</w:t>
            </w:r>
          </w:p>
        </w:tc>
      </w:tr>
      <w:tr w:rsidR="000C0541" w:rsidRPr="00E54537" w14:paraId="6DC4F1CF" w14:textId="77777777" w:rsidTr="00C62F56">
        <w:trPr>
          <w:trHeight w:val="373"/>
          <w:jc w:val="right"/>
        </w:trPr>
        <w:tc>
          <w:tcPr>
            <w:tcW w:w="535" w:type="pct"/>
          </w:tcPr>
          <w:p w14:paraId="1795A494" w14:textId="3D395614" w:rsidR="000C0541" w:rsidRPr="00E54537" w:rsidRDefault="000C0541" w:rsidP="000C0541">
            <w:pPr>
              <w:pStyle w:val="MDPI42tablebody"/>
              <w:jc w:val="left"/>
              <w:rPr>
                <w:sz w:val="16"/>
                <w:szCs w:val="16"/>
              </w:rPr>
            </w:pPr>
            <w:r w:rsidRPr="00E54537">
              <w:rPr>
                <w:sz w:val="16"/>
                <w:szCs w:val="16"/>
              </w:rPr>
              <w:t>Formoso 2023</w:t>
            </w:r>
          </w:p>
        </w:tc>
        <w:tc>
          <w:tcPr>
            <w:tcW w:w="988" w:type="pct"/>
          </w:tcPr>
          <w:p w14:paraId="7A58BBE3"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62D78580" w14:textId="21274397" w:rsidR="000C0541" w:rsidRPr="00E54537" w:rsidRDefault="000C0541" w:rsidP="000C0541">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01296123" w14:textId="2E342E62" w:rsidR="000C0541" w:rsidRPr="00E54537" w:rsidRDefault="000C0541" w:rsidP="000C0541">
            <w:pPr>
              <w:pStyle w:val="MDPI42tablebody"/>
              <w:jc w:val="left"/>
              <w:rPr>
                <w:sz w:val="16"/>
                <w:szCs w:val="16"/>
              </w:rPr>
            </w:pPr>
            <w:r w:rsidRPr="00E54537">
              <w:rPr>
                <w:sz w:val="16"/>
                <w:szCs w:val="16"/>
              </w:rPr>
              <w:t>Median 152 days</w:t>
            </w:r>
          </w:p>
        </w:tc>
        <w:tc>
          <w:tcPr>
            <w:tcW w:w="2925" w:type="pct"/>
          </w:tcPr>
          <w:p w14:paraId="2B8022D4" w14:textId="1A313C65" w:rsidR="000C0541" w:rsidRPr="00E54537" w:rsidRDefault="000C0541" w:rsidP="000C0541">
            <w:pPr>
              <w:pStyle w:val="MDPI42tablebody"/>
              <w:jc w:val="both"/>
              <w:rPr>
                <w:sz w:val="16"/>
                <w:szCs w:val="16"/>
              </w:rPr>
            </w:pPr>
            <w:r w:rsidRPr="00E54537">
              <w:rPr>
                <w:sz w:val="16"/>
                <w:szCs w:val="16"/>
              </w:rPr>
              <w:t>Overall, the cost of care provided to those who had a previous SARS-CoV-2 infection was 27% higher (€10 357 221, mean: 287.41, range 0–114 610 vs 8 149 196, mean 226.14, range 0–69 143).</w:t>
            </w:r>
          </w:p>
        </w:tc>
      </w:tr>
      <w:tr w:rsidR="000C0541" w:rsidRPr="00E54537" w14:paraId="05DE4391" w14:textId="77777777" w:rsidTr="00C62F56">
        <w:trPr>
          <w:trHeight w:val="373"/>
          <w:jc w:val="right"/>
        </w:trPr>
        <w:tc>
          <w:tcPr>
            <w:tcW w:w="535" w:type="pct"/>
          </w:tcPr>
          <w:p w14:paraId="2A120A53" w14:textId="016CA762" w:rsidR="000C0541" w:rsidRPr="00E54537" w:rsidRDefault="000C0541" w:rsidP="000C0541">
            <w:pPr>
              <w:pStyle w:val="MDPI42tablebody"/>
              <w:jc w:val="left"/>
              <w:rPr>
                <w:sz w:val="16"/>
                <w:szCs w:val="16"/>
              </w:rPr>
            </w:pPr>
            <w:r w:rsidRPr="00E54537">
              <w:rPr>
                <w:sz w:val="16"/>
                <w:szCs w:val="16"/>
              </w:rPr>
              <w:t>Khan 2023</w:t>
            </w:r>
          </w:p>
        </w:tc>
        <w:tc>
          <w:tcPr>
            <w:tcW w:w="988" w:type="pct"/>
          </w:tcPr>
          <w:p w14:paraId="1EF5BFF0" w14:textId="77777777" w:rsidR="000C0541" w:rsidRPr="00E54537" w:rsidRDefault="002454F3" w:rsidP="002454F3">
            <w:pPr>
              <w:pStyle w:val="MDPI42tablebody"/>
              <w:numPr>
                <w:ilvl w:val="0"/>
                <w:numId w:val="41"/>
              </w:numPr>
              <w:ind w:left="113" w:hanging="113"/>
              <w:jc w:val="left"/>
              <w:rPr>
                <w:sz w:val="16"/>
                <w:szCs w:val="16"/>
              </w:rPr>
            </w:pPr>
            <w:r w:rsidRPr="00E54537">
              <w:rPr>
                <w:sz w:val="16"/>
                <w:szCs w:val="16"/>
              </w:rPr>
              <w:t xml:space="preserve">Hospitalized COVID-19 </w:t>
            </w:r>
          </w:p>
          <w:p w14:paraId="1122CCE6" w14:textId="4824772E" w:rsidR="002454F3" w:rsidRPr="00E54537" w:rsidRDefault="002454F3" w:rsidP="002454F3">
            <w:pPr>
              <w:pStyle w:val="MDPI42tablebody"/>
              <w:numPr>
                <w:ilvl w:val="0"/>
                <w:numId w:val="41"/>
              </w:numPr>
              <w:ind w:left="113" w:hanging="113"/>
              <w:jc w:val="left"/>
              <w:rPr>
                <w:sz w:val="16"/>
                <w:szCs w:val="16"/>
              </w:rPr>
            </w:pPr>
            <w:r w:rsidRPr="00E54537">
              <w:rPr>
                <w:sz w:val="16"/>
                <w:szCs w:val="16"/>
              </w:rPr>
              <w:t>Non-hospitalized COVID-19</w:t>
            </w:r>
          </w:p>
        </w:tc>
        <w:tc>
          <w:tcPr>
            <w:tcW w:w="552" w:type="pct"/>
          </w:tcPr>
          <w:p w14:paraId="7F1B569D" w14:textId="5B9E1A4E" w:rsidR="000C0541" w:rsidRPr="00E54537" w:rsidRDefault="00520C16" w:rsidP="000C0541">
            <w:pPr>
              <w:pStyle w:val="MDPI42tablebody"/>
              <w:jc w:val="left"/>
              <w:rPr>
                <w:sz w:val="16"/>
                <w:szCs w:val="16"/>
              </w:rPr>
            </w:pPr>
            <w:r w:rsidRPr="00E54537">
              <w:rPr>
                <w:sz w:val="16"/>
                <w:szCs w:val="16"/>
              </w:rPr>
              <w:t>4 months</w:t>
            </w:r>
          </w:p>
        </w:tc>
        <w:tc>
          <w:tcPr>
            <w:tcW w:w="2925" w:type="pct"/>
          </w:tcPr>
          <w:p w14:paraId="56D6B4AD" w14:textId="7D7CD521" w:rsidR="000C0541" w:rsidRPr="00E54537" w:rsidRDefault="00486622" w:rsidP="000C0541">
            <w:pPr>
              <w:pStyle w:val="MDPI42tablebody"/>
              <w:jc w:val="left"/>
              <w:rPr>
                <w:sz w:val="16"/>
                <w:szCs w:val="16"/>
              </w:rPr>
            </w:pPr>
            <w:r w:rsidRPr="00E54537">
              <w:rPr>
                <w:sz w:val="16"/>
                <w:szCs w:val="16"/>
              </w:rPr>
              <w:t>Average total medical spending was 96%, 92%, and 68% higher for individuals who were hospitali</w:t>
            </w:r>
            <w:r w:rsidR="00520C16" w:rsidRPr="00E54537">
              <w:rPr>
                <w:sz w:val="16"/>
                <w:szCs w:val="16"/>
              </w:rPr>
              <w:t>z</w:t>
            </w:r>
            <w:r w:rsidRPr="00E54537">
              <w:rPr>
                <w:sz w:val="16"/>
                <w:szCs w:val="16"/>
              </w:rPr>
              <w:t>ed for COVID-19 vs. their non-hospitali</w:t>
            </w:r>
            <w:r w:rsidR="00520C16" w:rsidRPr="00E54537">
              <w:rPr>
                <w:sz w:val="16"/>
                <w:szCs w:val="16"/>
              </w:rPr>
              <w:t>z</w:t>
            </w:r>
            <w:r w:rsidRPr="00E54537">
              <w:rPr>
                <w:sz w:val="16"/>
                <w:szCs w:val="16"/>
              </w:rPr>
              <w:t>ed counterparts after 1 month, 2 months, and 4 months from the COVID-19 diagnosis date, respectively</w:t>
            </w:r>
            <w:r w:rsidR="004B714E" w:rsidRPr="00E54537">
              <w:rPr>
                <w:sz w:val="16"/>
                <w:szCs w:val="16"/>
              </w:rPr>
              <w:t xml:space="preserve">, excess costs were </w:t>
            </w:r>
            <w:r w:rsidR="00DE0831" w:rsidRPr="00E54537">
              <w:rPr>
                <w:sz w:val="16"/>
                <w:szCs w:val="16"/>
              </w:rPr>
              <w:t>$</w:t>
            </w:r>
            <w:r w:rsidR="004B714E" w:rsidRPr="00E54537">
              <w:rPr>
                <w:sz w:val="16"/>
                <w:szCs w:val="16"/>
              </w:rPr>
              <w:t>11</w:t>
            </w:r>
            <w:r w:rsidR="00DE0831" w:rsidRPr="00E54537">
              <w:rPr>
                <w:sz w:val="16"/>
                <w:szCs w:val="16"/>
              </w:rPr>
              <w:t>,</w:t>
            </w:r>
            <w:r w:rsidR="00150E35" w:rsidRPr="00E54537">
              <w:rPr>
                <w:sz w:val="16"/>
                <w:szCs w:val="16"/>
              </w:rPr>
              <w:t>242</w:t>
            </w:r>
            <w:r w:rsidR="00DE0831" w:rsidRPr="00E54537">
              <w:rPr>
                <w:sz w:val="16"/>
                <w:szCs w:val="16"/>
              </w:rPr>
              <w:t xml:space="preserve">, $10,393, and $4,959 after 1, 2 and 4 </w:t>
            </w:r>
            <w:r w:rsidR="00D42113" w:rsidRPr="00E54537">
              <w:rPr>
                <w:sz w:val="16"/>
                <w:szCs w:val="16"/>
              </w:rPr>
              <w:t>months</w:t>
            </w:r>
            <w:r w:rsidR="00DE0831" w:rsidRPr="00E54537">
              <w:rPr>
                <w:sz w:val="16"/>
                <w:szCs w:val="16"/>
              </w:rPr>
              <w:t>, respectively</w:t>
            </w:r>
            <w:r w:rsidR="00D42113" w:rsidRPr="00E54537">
              <w:rPr>
                <w:sz w:val="16"/>
                <w:szCs w:val="16"/>
              </w:rPr>
              <w:t>.</w:t>
            </w:r>
          </w:p>
        </w:tc>
      </w:tr>
      <w:tr w:rsidR="000C0541" w:rsidRPr="00E54537" w14:paraId="1884900A" w14:textId="77777777" w:rsidTr="00C62F56">
        <w:trPr>
          <w:trHeight w:val="373"/>
          <w:jc w:val="right"/>
        </w:trPr>
        <w:tc>
          <w:tcPr>
            <w:tcW w:w="535" w:type="pct"/>
          </w:tcPr>
          <w:p w14:paraId="7D33D7C0" w14:textId="4E434CE2" w:rsidR="000C0541" w:rsidRPr="00E54537" w:rsidRDefault="000C0541" w:rsidP="000C0541">
            <w:pPr>
              <w:pStyle w:val="MDPI42tablebody"/>
              <w:jc w:val="left"/>
              <w:rPr>
                <w:sz w:val="16"/>
                <w:szCs w:val="16"/>
              </w:rPr>
            </w:pPr>
            <w:r w:rsidRPr="00E54537">
              <w:rPr>
                <w:sz w:val="16"/>
                <w:szCs w:val="16"/>
              </w:rPr>
              <w:t>Gordon 2023</w:t>
            </w:r>
          </w:p>
        </w:tc>
        <w:tc>
          <w:tcPr>
            <w:tcW w:w="988" w:type="pct"/>
          </w:tcPr>
          <w:p w14:paraId="06E953DF"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COVID-19</w:t>
            </w:r>
          </w:p>
          <w:p w14:paraId="48E8CDB2" w14:textId="4043365A" w:rsidR="000C0541" w:rsidRPr="00E54537" w:rsidRDefault="000C0541" w:rsidP="000C0541">
            <w:pPr>
              <w:pStyle w:val="MDPI42tablebody"/>
              <w:jc w:val="left"/>
              <w:rPr>
                <w:sz w:val="16"/>
                <w:szCs w:val="16"/>
              </w:rPr>
            </w:pPr>
            <w:r w:rsidRPr="00E54537">
              <w:rPr>
                <w:sz w:val="16"/>
                <w:szCs w:val="16"/>
              </w:rPr>
              <w:t>Without COVID-19</w:t>
            </w:r>
          </w:p>
        </w:tc>
        <w:tc>
          <w:tcPr>
            <w:tcW w:w="552" w:type="pct"/>
          </w:tcPr>
          <w:p w14:paraId="262803B3" w14:textId="6D88F834" w:rsidR="000C0541" w:rsidRPr="00E54537" w:rsidRDefault="000C0541" w:rsidP="000C0541">
            <w:pPr>
              <w:pStyle w:val="MDPI42tablebody"/>
              <w:jc w:val="left"/>
              <w:rPr>
                <w:sz w:val="16"/>
                <w:szCs w:val="16"/>
              </w:rPr>
            </w:pPr>
            <w:r w:rsidRPr="00E54537">
              <w:rPr>
                <w:sz w:val="16"/>
                <w:szCs w:val="16"/>
              </w:rPr>
              <w:t>3-6 months after infection</w:t>
            </w:r>
          </w:p>
        </w:tc>
        <w:tc>
          <w:tcPr>
            <w:tcW w:w="2925" w:type="pct"/>
          </w:tcPr>
          <w:p w14:paraId="6822C24A" w14:textId="51479D24" w:rsidR="000C0541" w:rsidRPr="00E54537" w:rsidRDefault="000C0541" w:rsidP="000C0541">
            <w:pPr>
              <w:pStyle w:val="MDPI42tablebody"/>
              <w:jc w:val="left"/>
              <w:rPr>
                <w:sz w:val="16"/>
                <w:szCs w:val="16"/>
              </w:rPr>
            </w:pPr>
            <w:r w:rsidRPr="00E54537">
              <w:rPr>
                <w:sz w:val="16"/>
                <w:szCs w:val="16"/>
              </w:rPr>
              <w:t>A slight but statistically significant decrease in total healthcare costs in the COVID-19 group compared with the control was observed.</w:t>
            </w:r>
          </w:p>
        </w:tc>
      </w:tr>
      <w:tr w:rsidR="000C0541" w:rsidRPr="00E54537" w14:paraId="27279F9B" w14:textId="77777777" w:rsidTr="00481DC9">
        <w:trPr>
          <w:trHeight w:val="373"/>
          <w:jc w:val="right"/>
        </w:trPr>
        <w:tc>
          <w:tcPr>
            <w:tcW w:w="5000" w:type="pct"/>
            <w:gridSpan w:val="4"/>
            <w:shd w:val="clear" w:color="auto" w:fill="D9D9D9" w:themeFill="background1" w:themeFillShade="D9"/>
          </w:tcPr>
          <w:p w14:paraId="005710AE" w14:textId="4BA972D8" w:rsidR="000C0541" w:rsidRPr="00E54537" w:rsidRDefault="000C0541" w:rsidP="000C0541">
            <w:pPr>
              <w:pStyle w:val="MDPI42tablebody"/>
              <w:jc w:val="left"/>
              <w:rPr>
                <w:b/>
                <w:bCs/>
                <w:sz w:val="16"/>
                <w:szCs w:val="16"/>
              </w:rPr>
            </w:pPr>
            <w:r w:rsidRPr="00E54537">
              <w:rPr>
                <w:b/>
                <w:bCs/>
                <w:sz w:val="16"/>
                <w:szCs w:val="16"/>
              </w:rPr>
              <w:t xml:space="preserve">Inpatient </w:t>
            </w:r>
            <w:r w:rsidR="00E00397" w:rsidRPr="00E54537">
              <w:rPr>
                <w:b/>
                <w:bCs/>
                <w:sz w:val="16"/>
                <w:szCs w:val="16"/>
              </w:rPr>
              <w:t>Costs</w:t>
            </w:r>
          </w:p>
        </w:tc>
      </w:tr>
      <w:tr w:rsidR="000C0541" w:rsidRPr="00E54537" w14:paraId="3665E0EE" w14:textId="77777777" w:rsidTr="00481DC9">
        <w:trPr>
          <w:trHeight w:val="373"/>
          <w:jc w:val="right"/>
        </w:trPr>
        <w:tc>
          <w:tcPr>
            <w:tcW w:w="5000" w:type="pct"/>
            <w:gridSpan w:val="4"/>
          </w:tcPr>
          <w:p w14:paraId="417B6887" w14:textId="17503650" w:rsidR="000C0541" w:rsidRPr="00E54537" w:rsidRDefault="000C0541" w:rsidP="000C0541">
            <w:pPr>
              <w:pStyle w:val="MDPI42tablebody"/>
              <w:jc w:val="left"/>
              <w:rPr>
                <w:b/>
                <w:bCs/>
                <w:sz w:val="16"/>
                <w:szCs w:val="16"/>
              </w:rPr>
            </w:pPr>
            <w:r w:rsidRPr="00E54537">
              <w:rPr>
                <w:b/>
                <w:bCs/>
                <w:sz w:val="16"/>
                <w:szCs w:val="16"/>
              </w:rPr>
              <w:t>Long COVID</w:t>
            </w:r>
          </w:p>
        </w:tc>
      </w:tr>
      <w:tr w:rsidR="000C0541" w:rsidRPr="00E54537" w14:paraId="6C13D69C" w14:textId="77777777" w:rsidTr="00C62F56">
        <w:trPr>
          <w:trHeight w:val="373"/>
          <w:jc w:val="right"/>
        </w:trPr>
        <w:tc>
          <w:tcPr>
            <w:tcW w:w="535" w:type="pct"/>
          </w:tcPr>
          <w:p w14:paraId="3622C039" w14:textId="77777777" w:rsidR="000C0541" w:rsidRPr="00E54537" w:rsidRDefault="000C0541" w:rsidP="000C0541">
            <w:pPr>
              <w:pStyle w:val="MDPI42tablebody"/>
              <w:jc w:val="left"/>
              <w:rPr>
                <w:sz w:val="16"/>
                <w:szCs w:val="16"/>
              </w:rPr>
            </w:pPr>
            <w:r w:rsidRPr="00E54537">
              <w:rPr>
                <w:sz w:val="16"/>
                <w:szCs w:val="16"/>
              </w:rPr>
              <w:t>Walter 2022</w:t>
            </w:r>
          </w:p>
        </w:tc>
        <w:tc>
          <w:tcPr>
            <w:tcW w:w="988" w:type="pct"/>
          </w:tcPr>
          <w:p w14:paraId="6E35146F" w14:textId="27282CCD" w:rsidR="000C0541" w:rsidRPr="00E54537" w:rsidRDefault="00C24FAA" w:rsidP="000C0541">
            <w:pPr>
              <w:pStyle w:val="MDPI42tablebody"/>
              <w:numPr>
                <w:ilvl w:val="0"/>
                <w:numId w:val="41"/>
              </w:numPr>
              <w:ind w:left="113" w:hanging="113"/>
              <w:jc w:val="left"/>
              <w:rPr>
                <w:sz w:val="16"/>
                <w:szCs w:val="16"/>
              </w:rPr>
            </w:pPr>
            <w:r w:rsidRPr="00E54537">
              <w:rPr>
                <w:sz w:val="16"/>
                <w:szCs w:val="16"/>
              </w:rPr>
              <w:t>Long COVID</w:t>
            </w:r>
          </w:p>
        </w:tc>
        <w:tc>
          <w:tcPr>
            <w:tcW w:w="552" w:type="pct"/>
          </w:tcPr>
          <w:p w14:paraId="055DDC57" w14:textId="187448D5" w:rsidR="000C0541" w:rsidRPr="00E54537" w:rsidRDefault="004537B3" w:rsidP="000C0541">
            <w:pPr>
              <w:pStyle w:val="MDPI42tablebody"/>
              <w:jc w:val="left"/>
              <w:rPr>
                <w:sz w:val="16"/>
                <w:szCs w:val="16"/>
              </w:rPr>
            </w:pPr>
            <w:r w:rsidRPr="00E54537">
              <w:rPr>
                <w:sz w:val="16"/>
                <w:szCs w:val="16"/>
              </w:rPr>
              <w:t>NA</w:t>
            </w:r>
          </w:p>
        </w:tc>
        <w:tc>
          <w:tcPr>
            <w:tcW w:w="2925" w:type="pct"/>
          </w:tcPr>
          <w:p w14:paraId="7CDAAC60" w14:textId="77777777" w:rsidR="000C0541" w:rsidRPr="00E54537" w:rsidRDefault="000C0541" w:rsidP="000C0541">
            <w:pPr>
              <w:pStyle w:val="MDPI42tablebody"/>
              <w:jc w:val="left"/>
              <w:rPr>
                <w:sz w:val="16"/>
                <w:szCs w:val="16"/>
              </w:rPr>
            </w:pPr>
            <w:r w:rsidRPr="00E54537">
              <w:rPr>
                <w:sz w:val="16"/>
                <w:szCs w:val="16"/>
              </w:rPr>
              <w:t>In 2021, long COVID diagnosis was associated with total inpatient costs of €136,608,719, with a mean cost of €4,583 per case.</w:t>
            </w:r>
          </w:p>
        </w:tc>
      </w:tr>
      <w:tr w:rsidR="000C0541" w:rsidRPr="00E54537" w14:paraId="5296A108" w14:textId="77777777" w:rsidTr="00C62F56">
        <w:trPr>
          <w:trHeight w:val="373"/>
          <w:jc w:val="right"/>
        </w:trPr>
        <w:tc>
          <w:tcPr>
            <w:tcW w:w="535" w:type="pct"/>
          </w:tcPr>
          <w:p w14:paraId="501D02B3" w14:textId="77777777" w:rsidR="000C0541" w:rsidRPr="00E54537" w:rsidRDefault="000C0541" w:rsidP="000C0541">
            <w:pPr>
              <w:pStyle w:val="MDPI42tablebody"/>
              <w:jc w:val="left"/>
              <w:rPr>
                <w:sz w:val="16"/>
                <w:szCs w:val="16"/>
              </w:rPr>
            </w:pPr>
            <w:r w:rsidRPr="00E54537">
              <w:rPr>
                <w:sz w:val="16"/>
                <w:szCs w:val="16"/>
              </w:rPr>
              <w:t>Tene 2023</w:t>
            </w:r>
          </w:p>
        </w:tc>
        <w:tc>
          <w:tcPr>
            <w:tcW w:w="988" w:type="pct"/>
          </w:tcPr>
          <w:p w14:paraId="1388E324" w14:textId="77777777" w:rsidR="000C0541" w:rsidRPr="00E54537" w:rsidRDefault="000C0541" w:rsidP="000C0541">
            <w:pPr>
              <w:pStyle w:val="MDPI42tablebody"/>
              <w:numPr>
                <w:ilvl w:val="0"/>
                <w:numId w:val="41"/>
              </w:numPr>
              <w:ind w:left="113" w:hanging="113"/>
              <w:jc w:val="left"/>
              <w:rPr>
                <w:sz w:val="16"/>
                <w:szCs w:val="16"/>
              </w:rPr>
            </w:pPr>
            <w:r w:rsidRPr="00E54537">
              <w:rPr>
                <w:sz w:val="16"/>
                <w:szCs w:val="16"/>
              </w:rPr>
              <w:t xml:space="preserve">Long COVID; </w:t>
            </w:r>
          </w:p>
          <w:p w14:paraId="03FD79C1" w14:textId="03B3607A" w:rsidR="000C0541" w:rsidRPr="00E54537" w:rsidRDefault="000C0541" w:rsidP="000C0541">
            <w:pPr>
              <w:pStyle w:val="MDPI42tablebody"/>
              <w:numPr>
                <w:ilvl w:val="0"/>
                <w:numId w:val="41"/>
              </w:numPr>
              <w:ind w:left="113" w:hanging="113"/>
              <w:jc w:val="left"/>
              <w:rPr>
                <w:sz w:val="16"/>
                <w:szCs w:val="16"/>
              </w:rPr>
            </w:pPr>
            <w:r w:rsidRPr="00E54537">
              <w:rPr>
                <w:sz w:val="16"/>
                <w:szCs w:val="16"/>
              </w:rPr>
              <w:t>Non long COVID</w:t>
            </w:r>
          </w:p>
        </w:tc>
        <w:tc>
          <w:tcPr>
            <w:tcW w:w="552" w:type="pct"/>
          </w:tcPr>
          <w:p w14:paraId="2E3483BB" w14:textId="77777777" w:rsidR="000C0541" w:rsidRPr="00E54537" w:rsidRDefault="000C0541" w:rsidP="000C0541">
            <w:pPr>
              <w:pStyle w:val="MDPI42tablebody"/>
              <w:jc w:val="left"/>
              <w:rPr>
                <w:sz w:val="16"/>
                <w:szCs w:val="16"/>
              </w:rPr>
            </w:pPr>
            <w:r w:rsidRPr="00E54537">
              <w:rPr>
                <w:sz w:val="16"/>
                <w:szCs w:val="16"/>
              </w:rPr>
              <w:t>12 months</w:t>
            </w:r>
          </w:p>
        </w:tc>
        <w:tc>
          <w:tcPr>
            <w:tcW w:w="2925" w:type="pct"/>
          </w:tcPr>
          <w:p w14:paraId="2FAE73A0" w14:textId="77777777" w:rsidR="000C0541" w:rsidRPr="00E54537" w:rsidRDefault="000C0541" w:rsidP="000C0541">
            <w:pPr>
              <w:pStyle w:val="MDPI42tablebody"/>
              <w:jc w:val="left"/>
              <w:rPr>
                <w:sz w:val="16"/>
                <w:szCs w:val="16"/>
              </w:rPr>
            </w:pPr>
            <w:r w:rsidRPr="00E54537">
              <w:rPr>
                <w:sz w:val="16"/>
                <w:szCs w:val="16"/>
              </w:rPr>
              <w:t>Mean monthly costs of hospitalization during follow-up in patients with long COVID was $964.6 and $106.6 in patients without long COVID (HR=1.98 95%CI: 1.20-3.28)</w:t>
            </w:r>
          </w:p>
        </w:tc>
      </w:tr>
      <w:tr w:rsidR="000C0541" w:rsidRPr="00E54537" w14:paraId="77CEF568" w14:textId="77777777" w:rsidTr="00481DC9">
        <w:trPr>
          <w:trHeight w:val="373"/>
          <w:jc w:val="right"/>
        </w:trPr>
        <w:tc>
          <w:tcPr>
            <w:tcW w:w="5000" w:type="pct"/>
            <w:gridSpan w:val="4"/>
          </w:tcPr>
          <w:p w14:paraId="23BBD45F" w14:textId="3484E67F" w:rsidR="000C0541" w:rsidRPr="00E54537" w:rsidRDefault="000C0541" w:rsidP="000C0541">
            <w:pPr>
              <w:pStyle w:val="MDPI42tablebody"/>
              <w:jc w:val="left"/>
              <w:rPr>
                <w:sz w:val="16"/>
                <w:szCs w:val="16"/>
              </w:rPr>
            </w:pPr>
            <w:r w:rsidRPr="00E54537">
              <w:rPr>
                <w:b/>
                <w:bCs/>
                <w:sz w:val="16"/>
                <w:szCs w:val="16"/>
              </w:rPr>
              <w:t xml:space="preserve">Long-term </w:t>
            </w:r>
            <w:r w:rsidR="00C2212C" w:rsidRPr="00E54537">
              <w:rPr>
                <w:b/>
                <w:bCs/>
                <w:sz w:val="16"/>
                <w:szCs w:val="16"/>
              </w:rPr>
              <w:t>costs</w:t>
            </w:r>
            <w:r w:rsidRPr="00E54537">
              <w:rPr>
                <w:b/>
                <w:bCs/>
                <w:sz w:val="16"/>
                <w:szCs w:val="16"/>
              </w:rPr>
              <w:t xml:space="preserve"> in patients with COVID-19</w:t>
            </w:r>
          </w:p>
        </w:tc>
      </w:tr>
      <w:tr w:rsidR="005B7120" w:rsidRPr="00E54537" w14:paraId="1691C56E" w14:textId="77777777" w:rsidTr="00C62F56">
        <w:trPr>
          <w:trHeight w:val="373"/>
          <w:jc w:val="right"/>
        </w:trPr>
        <w:tc>
          <w:tcPr>
            <w:tcW w:w="535" w:type="pct"/>
          </w:tcPr>
          <w:p w14:paraId="4F294AEE" w14:textId="5E50D079" w:rsidR="005B7120" w:rsidRPr="00E54537" w:rsidRDefault="005B7120" w:rsidP="005B7120">
            <w:pPr>
              <w:pStyle w:val="MDPI42tablebody"/>
              <w:jc w:val="left"/>
              <w:rPr>
                <w:sz w:val="16"/>
                <w:szCs w:val="16"/>
              </w:rPr>
            </w:pPr>
            <w:r w:rsidRPr="00E54537">
              <w:rPr>
                <w:sz w:val="16"/>
                <w:szCs w:val="16"/>
              </w:rPr>
              <w:t>Koumpias 2022</w:t>
            </w:r>
          </w:p>
        </w:tc>
        <w:tc>
          <w:tcPr>
            <w:tcW w:w="988" w:type="pct"/>
          </w:tcPr>
          <w:p w14:paraId="7E2C6D1D" w14:textId="5D5AA293" w:rsidR="005B7120" w:rsidRPr="00E54537" w:rsidRDefault="005B7120" w:rsidP="005B7120">
            <w:pPr>
              <w:pStyle w:val="MDPI42tablebody"/>
              <w:numPr>
                <w:ilvl w:val="0"/>
                <w:numId w:val="41"/>
              </w:numPr>
              <w:ind w:left="113" w:hanging="113"/>
              <w:jc w:val="left"/>
              <w:rPr>
                <w:sz w:val="16"/>
                <w:szCs w:val="16"/>
              </w:rPr>
            </w:pPr>
            <w:r w:rsidRPr="00E54537">
              <w:rPr>
                <w:sz w:val="16"/>
                <w:szCs w:val="16"/>
              </w:rPr>
              <w:t>Self-controlled study: pre and post COVID-19 diagnosis</w:t>
            </w:r>
          </w:p>
        </w:tc>
        <w:tc>
          <w:tcPr>
            <w:tcW w:w="552" w:type="pct"/>
          </w:tcPr>
          <w:p w14:paraId="0962FDE1" w14:textId="791BBB77" w:rsidR="005B7120" w:rsidRPr="00E54537" w:rsidRDefault="005B7120" w:rsidP="005B7120">
            <w:pPr>
              <w:pStyle w:val="MDPI42tablebody"/>
              <w:jc w:val="left"/>
              <w:rPr>
                <w:sz w:val="16"/>
                <w:szCs w:val="16"/>
              </w:rPr>
            </w:pPr>
            <w:r w:rsidRPr="00E54537">
              <w:rPr>
                <w:sz w:val="16"/>
                <w:szCs w:val="16"/>
              </w:rPr>
              <w:t>6 months before and after COVID-19 diagnosis</w:t>
            </w:r>
          </w:p>
        </w:tc>
        <w:tc>
          <w:tcPr>
            <w:tcW w:w="2925" w:type="pct"/>
          </w:tcPr>
          <w:p w14:paraId="35B25C75" w14:textId="735AFD27" w:rsidR="005B7120" w:rsidRPr="00E54537" w:rsidRDefault="008A4D82" w:rsidP="007B6803">
            <w:pPr>
              <w:pStyle w:val="MDPI42tablebody"/>
              <w:jc w:val="both"/>
              <w:rPr>
                <w:sz w:val="16"/>
                <w:szCs w:val="16"/>
              </w:rPr>
            </w:pPr>
            <w:r w:rsidRPr="00E54537">
              <w:rPr>
                <w:sz w:val="16"/>
                <w:szCs w:val="16"/>
              </w:rPr>
              <w:t>In the study i</w:t>
            </w:r>
            <w:r w:rsidR="007B6803" w:rsidRPr="00E54537">
              <w:rPr>
                <w:sz w:val="16"/>
                <w:szCs w:val="16"/>
              </w:rPr>
              <w:t xml:space="preserve">ncrease </w:t>
            </w:r>
            <w:r w:rsidRPr="00E54537">
              <w:rPr>
                <w:sz w:val="16"/>
                <w:szCs w:val="16"/>
              </w:rPr>
              <w:t xml:space="preserve">in total healthcare costs </w:t>
            </w:r>
            <w:r w:rsidR="00C97D79" w:rsidRPr="00E54537">
              <w:rPr>
                <w:sz w:val="16"/>
                <w:szCs w:val="16"/>
              </w:rPr>
              <w:t>during the post COVID-19 diagnosis period</w:t>
            </w:r>
            <w:r w:rsidRPr="00E54537">
              <w:rPr>
                <w:sz w:val="16"/>
                <w:szCs w:val="16"/>
              </w:rPr>
              <w:t xml:space="preserve"> </w:t>
            </w:r>
            <w:r w:rsidR="007B6803" w:rsidRPr="00E54537">
              <w:rPr>
                <w:sz w:val="16"/>
                <w:szCs w:val="16"/>
              </w:rPr>
              <w:t>was driven primarily by financial costs associated with inpatient care ($95.29, 95% CI</w:t>
            </w:r>
            <w:r w:rsidR="003723F3" w:rsidRPr="00E54537">
              <w:rPr>
                <w:sz w:val="16"/>
                <w:szCs w:val="16"/>
              </w:rPr>
              <w:t>:</w:t>
            </w:r>
            <w:r w:rsidR="007B6803" w:rsidRPr="00E54537">
              <w:rPr>
                <w:sz w:val="16"/>
                <w:szCs w:val="16"/>
              </w:rPr>
              <w:t xml:space="preserve"> $92.20</w:t>
            </w:r>
            <w:r w:rsidR="003723F3" w:rsidRPr="00E54537">
              <w:rPr>
                <w:sz w:val="16"/>
                <w:szCs w:val="16"/>
              </w:rPr>
              <w:t>-</w:t>
            </w:r>
            <w:r w:rsidR="007B6803" w:rsidRPr="00E54537">
              <w:rPr>
                <w:sz w:val="16"/>
                <w:szCs w:val="16"/>
              </w:rPr>
              <w:t xml:space="preserve">$98.39; </w:t>
            </w:r>
            <w:r w:rsidR="003723F3" w:rsidRPr="00E54537">
              <w:rPr>
                <w:sz w:val="16"/>
                <w:szCs w:val="16"/>
              </w:rPr>
              <w:t>p</w:t>
            </w:r>
            <w:r w:rsidR="007B6803" w:rsidRPr="00E54537">
              <w:rPr>
                <w:i/>
                <w:iCs/>
                <w:sz w:val="16"/>
                <w:szCs w:val="16"/>
              </w:rPr>
              <w:t xml:space="preserve"> </w:t>
            </w:r>
            <w:r w:rsidR="007B6803" w:rsidRPr="00E54537">
              <w:rPr>
                <w:sz w:val="16"/>
                <w:szCs w:val="16"/>
              </w:rPr>
              <w:t>&lt; 0.001)</w:t>
            </w:r>
            <w:r w:rsidR="00C97D79" w:rsidRPr="00E54537">
              <w:rPr>
                <w:sz w:val="16"/>
                <w:szCs w:val="16"/>
              </w:rPr>
              <w:t>.</w:t>
            </w:r>
          </w:p>
        </w:tc>
      </w:tr>
      <w:tr w:rsidR="005B7120" w:rsidRPr="00E54537" w14:paraId="0A8BDFD2" w14:textId="77777777" w:rsidTr="00C62F56">
        <w:trPr>
          <w:trHeight w:val="373"/>
          <w:jc w:val="right"/>
        </w:trPr>
        <w:tc>
          <w:tcPr>
            <w:tcW w:w="535" w:type="pct"/>
          </w:tcPr>
          <w:p w14:paraId="3FC0EA4F" w14:textId="08CBEDF6" w:rsidR="005B7120" w:rsidRPr="00E54537" w:rsidRDefault="005B7120" w:rsidP="005B7120">
            <w:pPr>
              <w:pStyle w:val="MDPI42tablebody"/>
              <w:jc w:val="left"/>
              <w:rPr>
                <w:sz w:val="16"/>
                <w:szCs w:val="16"/>
              </w:rPr>
            </w:pPr>
            <w:r w:rsidRPr="00E54537">
              <w:rPr>
                <w:sz w:val="16"/>
                <w:szCs w:val="16"/>
              </w:rPr>
              <w:t>Chambers 2023</w:t>
            </w:r>
          </w:p>
        </w:tc>
        <w:tc>
          <w:tcPr>
            <w:tcW w:w="988" w:type="pct"/>
          </w:tcPr>
          <w:p w14:paraId="1274A4D3"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COVID-19;</w:t>
            </w:r>
          </w:p>
          <w:p w14:paraId="66E9BB3A" w14:textId="1FE3FDCF" w:rsidR="005B7120" w:rsidRPr="00E54537" w:rsidRDefault="005B7120" w:rsidP="005B7120">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2FC09ACE" w14:textId="088CA8CC" w:rsidR="005B7120" w:rsidRPr="00E54537" w:rsidRDefault="005B7120" w:rsidP="005B7120">
            <w:pPr>
              <w:pStyle w:val="MDPI42tablebody"/>
              <w:jc w:val="left"/>
              <w:rPr>
                <w:sz w:val="16"/>
                <w:szCs w:val="16"/>
              </w:rPr>
            </w:pPr>
            <w:r w:rsidRPr="00E54537">
              <w:rPr>
                <w:sz w:val="16"/>
                <w:szCs w:val="16"/>
              </w:rPr>
              <w:t>12 months</w:t>
            </w:r>
          </w:p>
        </w:tc>
        <w:tc>
          <w:tcPr>
            <w:tcW w:w="2925" w:type="pct"/>
          </w:tcPr>
          <w:p w14:paraId="0AFF988C" w14:textId="3C7F502C" w:rsidR="005B7120" w:rsidRPr="00E54537" w:rsidRDefault="005B7120" w:rsidP="005B7120">
            <w:pPr>
              <w:pStyle w:val="MDPI42tablebody"/>
              <w:jc w:val="left"/>
              <w:rPr>
                <w:sz w:val="16"/>
                <w:szCs w:val="16"/>
              </w:rPr>
            </w:pPr>
            <w:r w:rsidRPr="00E54537">
              <w:rPr>
                <w:sz w:val="16"/>
                <w:szCs w:val="16"/>
              </w:rPr>
              <w:t>A 14.6% increase in inpatient healthcare spent was observed among US commercially insured COVID-19 patients compared with controls (excess costs of $5.39, difference-in-differences). Medicare Advantage patients experience a lesser increase in healthcare spending for inpatient services than control (-22.8%; decreased costs of -$16.13, difference-in-differences).</w:t>
            </w:r>
          </w:p>
        </w:tc>
      </w:tr>
      <w:tr w:rsidR="005B7120" w:rsidRPr="00E54537" w14:paraId="5208892B" w14:textId="77777777" w:rsidTr="00C62F56">
        <w:trPr>
          <w:trHeight w:val="373"/>
          <w:jc w:val="right"/>
        </w:trPr>
        <w:tc>
          <w:tcPr>
            <w:tcW w:w="535" w:type="pct"/>
          </w:tcPr>
          <w:p w14:paraId="38FAE9A7" w14:textId="239EEA3F" w:rsidR="005B7120" w:rsidRPr="00E54537" w:rsidRDefault="005B7120" w:rsidP="005B7120">
            <w:pPr>
              <w:pStyle w:val="MDPI42tablebody"/>
              <w:jc w:val="left"/>
              <w:rPr>
                <w:sz w:val="16"/>
                <w:szCs w:val="16"/>
              </w:rPr>
            </w:pPr>
            <w:r w:rsidRPr="00E54537">
              <w:rPr>
                <w:sz w:val="16"/>
                <w:szCs w:val="16"/>
              </w:rPr>
              <w:t>Wolff Sagy 2023</w:t>
            </w:r>
          </w:p>
        </w:tc>
        <w:tc>
          <w:tcPr>
            <w:tcW w:w="988" w:type="pct"/>
          </w:tcPr>
          <w:p w14:paraId="228D2FBB"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COVID-19;</w:t>
            </w:r>
          </w:p>
          <w:p w14:paraId="0CE28642" w14:textId="1D6CDF4B" w:rsidR="005B7120" w:rsidRPr="00E54537" w:rsidRDefault="005B7120" w:rsidP="005B7120">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69455C9A" w14:textId="74BF0939" w:rsidR="005B7120" w:rsidRPr="00E54537" w:rsidRDefault="005B7120" w:rsidP="005B7120">
            <w:pPr>
              <w:pStyle w:val="MDPI42tablebody"/>
              <w:jc w:val="left"/>
              <w:rPr>
                <w:sz w:val="16"/>
                <w:szCs w:val="16"/>
              </w:rPr>
            </w:pPr>
            <w:r w:rsidRPr="00E54537">
              <w:rPr>
                <w:sz w:val="16"/>
                <w:szCs w:val="16"/>
              </w:rPr>
              <w:t>Median 9 months</w:t>
            </w:r>
          </w:p>
        </w:tc>
        <w:tc>
          <w:tcPr>
            <w:tcW w:w="2925" w:type="pct"/>
          </w:tcPr>
          <w:p w14:paraId="24FE7CDA" w14:textId="50F7723F" w:rsidR="005B7120" w:rsidRPr="00E54537" w:rsidRDefault="005B7120" w:rsidP="005B7120">
            <w:pPr>
              <w:pStyle w:val="MDPI42tablebody"/>
              <w:jc w:val="left"/>
              <w:rPr>
                <w:sz w:val="16"/>
                <w:szCs w:val="16"/>
              </w:rPr>
            </w:pPr>
            <w:r w:rsidRPr="00E54537">
              <w:rPr>
                <w:sz w:val="16"/>
                <w:szCs w:val="16"/>
              </w:rPr>
              <w:t>Inpatient (hospitalization days) costs were increased by 20.3% in COVID-19 patients compared with controls.</w:t>
            </w:r>
          </w:p>
        </w:tc>
      </w:tr>
      <w:tr w:rsidR="005B7120" w:rsidRPr="00E54537" w14:paraId="2066A028" w14:textId="77777777" w:rsidTr="00C62F56">
        <w:trPr>
          <w:trHeight w:val="373"/>
          <w:jc w:val="right"/>
        </w:trPr>
        <w:tc>
          <w:tcPr>
            <w:tcW w:w="535" w:type="pct"/>
          </w:tcPr>
          <w:p w14:paraId="44F96529" w14:textId="447B8864" w:rsidR="005B7120" w:rsidRPr="00E54537" w:rsidRDefault="005B7120" w:rsidP="005B7120">
            <w:pPr>
              <w:pStyle w:val="MDPI42tablebody"/>
              <w:jc w:val="left"/>
              <w:rPr>
                <w:sz w:val="16"/>
                <w:szCs w:val="16"/>
              </w:rPr>
            </w:pPr>
            <w:r w:rsidRPr="00E54537">
              <w:rPr>
                <w:sz w:val="16"/>
                <w:szCs w:val="16"/>
              </w:rPr>
              <w:t>DeMartino 2022</w:t>
            </w:r>
          </w:p>
        </w:tc>
        <w:tc>
          <w:tcPr>
            <w:tcW w:w="988" w:type="pct"/>
          </w:tcPr>
          <w:p w14:paraId="522C35C6"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COVID-19;</w:t>
            </w:r>
          </w:p>
          <w:p w14:paraId="2EAAB1E8" w14:textId="0517D7C8" w:rsidR="005B7120" w:rsidRPr="00E54537" w:rsidRDefault="005B7120" w:rsidP="005B7120">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6577ED37" w14:textId="7EBDC7E1" w:rsidR="005B7120" w:rsidRPr="00E54537" w:rsidRDefault="005B7120" w:rsidP="005B7120">
            <w:pPr>
              <w:pStyle w:val="MDPI42tablebody"/>
              <w:jc w:val="left"/>
              <w:rPr>
                <w:sz w:val="16"/>
                <w:szCs w:val="16"/>
              </w:rPr>
            </w:pPr>
            <w:r w:rsidRPr="00E54537">
              <w:rPr>
                <w:sz w:val="16"/>
                <w:szCs w:val="16"/>
              </w:rPr>
              <w:t>6 months</w:t>
            </w:r>
          </w:p>
        </w:tc>
        <w:tc>
          <w:tcPr>
            <w:tcW w:w="2925" w:type="pct"/>
          </w:tcPr>
          <w:p w14:paraId="44D45250" w14:textId="59EE85D7" w:rsidR="005B7120" w:rsidRPr="00E54537" w:rsidRDefault="005B7120" w:rsidP="005B7120">
            <w:pPr>
              <w:pStyle w:val="MDPI42tablebody"/>
              <w:jc w:val="left"/>
              <w:rPr>
                <w:sz w:val="16"/>
                <w:szCs w:val="16"/>
              </w:rPr>
            </w:pPr>
            <w:r w:rsidRPr="00E54537">
              <w:rPr>
                <w:sz w:val="16"/>
                <w:szCs w:val="16"/>
              </w:rPr>
              <w:t>Mean inpatient costs rapidly declined after the first month but remained numerically higher in patients exposed to COVID-19 compared to controls across 6 months; the differences were significant for up to month 5 for commercially insured patients, and up to month 2 for Medicare patients.</w:t>
            </w:r>
          </w:p>
        </w:tc>
      </w:tr>
      <w:tr w:rsidR="005B7120" w:rsidRPr="00E54537" w14:paraId="340D14F4" w14:textId="77777777" w:rsidTr="00481DC9">
        <w:trPr>
          <w:trHeight w:val="373"/>
          <w:jc w:val="right"/>
        </w:trPr>
        <w:tc>
          <w:tcPr>
            <w:tcW w:w="5000" w:type="pct"/>
            <w:gridSpan w:val="4"/>
            <w:shd w:val="clear" w:color="auto" w:fill="D9D9D9" w:themeFill="background1" w:themeFillShade="D9"/>
          </w:tcPr>
          <w:p w14:paraId="77AC9CED" w14:textId="22A01853" w:rsidR="005B7120" w:rsidRPr="00E54537" w:rsidRDefault="005B7120" w:rsidP="005B7120">
            <w:pPr>
              <w:pStyle w:val="MDPI42tablebody"/>
              <w:jc w:val="left"/>
              <w:rPr>
                <w:b/>
                <w:bCs/>
                <w:sz w:val="16"/>
                <w:szCs w:val="16"/>
              </w:rPr>
            </w:pPr>
            <w:r w:rsidRPr="00E54537">
              <w:rPr>
                <w:b/>
                <w:bCs/>
                <w:sz w:val="16"/>
                <w:szCs w:val="16"/>
              </w:rPr>
              <w:t xml:space="preserve">Outpatient and </w:t>
            </w:r>
            <w:r w:rsidR="00E00397" w:rsidRPr="00E54537">
              <w:rPr>
                <w:b/>
                <w:bCs/>
                <w:sz w:val="16"/>
                <w:szCs w:val="16"/>
              </w:rPr>
              <w:t>ED</w:t>
            </w:r>
            <w:r w:rsidR="003C2F98" w:rsidRPr="00E54537">
              <w:rPr>
                <w:b/>
                <w:bCs/>
                <w:sz w:val="16"/>
                <w:szCs w:val="16"/>
              </w:rPr>
              <w:t xml:space="preserve"> </w:t>
            </w:r>
            <w:r w:rsidR="00E00397" w:rsidRPr="00E54537">
              <w:rPr>
                <w:b/>
                <w:bCs/>
                <w:sz w:val="16"/>
                <w:szCs w:val="16"/>
              </w:rPr>
              <w:t>C</w:t>
            </w:r>
            <w:r w:rsidR="003C2F98" w:rsidRPr="00E54537">
              <w:rPr>
                <w:b/>
                <w:bCs/>
                <w:sz w:val="16"/>
                <w:szCs w:val="16"/>
              </w:rPr>
              <w:t>osts</w:t>
            </w:r>
          </w:p>
        </w:tc>
      </w:tr>
      <w:tr w:rsidR="005B7120" w:rsidRPr="00E54537" w14:paraId="051BC0C5" w14:textId="77777777" w:rsidTr="003C19D7">
        <w:trPr>
          <w:trHeight w:val="373"/>
          <w:jc w:val="right"/>
        </w:trPr>
        <w:tc>
          <w:tcPr>
            <w:tcW w:w="5000" w:type="pct"/>
            <w:gridSpan w:val="4"/>
          </w:tcPr>
          <w:p w14:paraId="094A5E99" w14:textId="70598287" w:rsidR="005B7120" w:rsidRPr="00E54537" w:rsidRDefault="005B7120" w:rsidP="005B7120">
            <w:pPr>
              <w:pStyle w:val="MDPI42tablebody"/>
              <w:jc w:val="left"/>
              <w:rPr>
                <w:sz w:val="16"/>
                <w:szCs w:val="16"/>
              </w:rPr>
            </w:pPr>
            <w:r w:rsidRPr="00E54537">
              <w:rPr>
                <w:b/>
                <w:bCs/>
                <w:sz w:val="16"/>
                <w:szCs w:val="16"/>
              </w:rPr>
              <w:t>Long COVID</w:t>
            </w:r>
          </w:p>
        </w:tc>
      </w:tr>
      <w:tr w:rsidR="005B7120" w:rsidRPr="00E54537" w14:paraId="4E6155F5" w14:textId="77777777" w:rsidTr="00C62F56">
        <w:trPr>
          <w:trHeight w:val="373"/>
          <w:jc w:val="right"/>
        </w:trPr>
        <w:tc>
          <w:tcPr>
            <w:tcW w:w="535" w:type="pct"/>
          </w:tcPr>
          <w:p w14:paraId="74E99AFF" w14:textId="77777777" w:rsidR="005B7120" w:rsidRPr="00E54537" w:rsidRDefault="005B7120" w:rsidP="005B7120">
            <w:pPr>
              <w:pStyle w:val="MDPI42tablebody"/>
              <w:jc w:val="left"/>
              <w:rPr>
                <w:sz w:val="16"/>
                <w:szCs w:val="16"/>
              </w:rPr>
            </w:pPr>
            <w:r w:rsidRPr="00E54537">
              <w:rPr>
                <w:sz w:val="16"/>
                <w:szCs w:val="16"/>
              </w:rPr>
              <w:t>Tene 2023</w:t>
            </w:r>
          </w:p>
        </w:tc>
        <w:tc>
          <w:tcPr>
            <w:tcW w:w="988" w:type="pct"/>
          </w:tcPr>
          <w:p w14:paraId="6BE8A6E3"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 xml:space="preserve">Long COVID; </w:t>
            </w:r>
          </w:p>
          <w:p w14:paraId="40EC17FB" w14:textId="5E011DFF" w:rsidR="005B7120" w:rsidRPr="00E54537" w:rsidRDefault="005B7120" w:rsidP="005B7120">
            <w:pPr>
              <w:pStyle w:val="MDPI42tablebody"/>
              <w:numPr>
                <w:ilvl w:val="0"/>
                <w:numId w:val="41"/>
              </w:numPr>
              <w:ind w:left="113" w:hanging="113"/>
              <w:jc w:val="left"/>
              <w:rPr>
                <w:sz w:val="16"/>
                <w:szCs w:val="16"/>
              </w:rPr>
            </w:pPr>
            <w:r w:rsidRPr="00E54537">
              <w:rPr>
                <w:sz w:val="16"/>
                <w:szCs w:val="16"/>
              </w:rPr>
              <w:t>Non long COVID</w:t>
            </w:r>
          </w:p>
        </w:tc>
        <w:tc>
          <w:tcPr>
            <w:tcW w:w="552" w:type="pct"/>
          </w:tcPr>
          <w:p w14:paraId="3C60CF07" w14:textId="77777777" w:rsidR="005B7120" w:rsidRPr="00E54537" w:rsidRDefault="005B7120" w:rsidP="005B7120">
            <w:pPr>
              <w:pStyle w:val="MDPI42tablebody"/>
              <w:jc w:val="left"/>
              <w:rPr>
                <w:sz w:val="16"/>
                <w:szCs w:val="16"/>
              </w:rPr>
            </w:pPr>
            <w:r w:rsidRPr="00E54537">
              <w:rPr>
                <w:sz w:val="16"/>
                <w:szCs w:val="16"/>
              </w:rPr>
              <w:t>12 months</w:t>
            </w:r>
          </w:p>
        </w:tc>
        <w:tc>
          <w:tcPr>
            <w:tcW w:w="2925" w:type="pct"/>
          </w:tcPr>
          <w:p w14:paraId="68F30706" w14:textId="77777777" w:rsidR="005B7120" w:rsidRPr="00E54537" w:rsidRDefault="005B7120" w:rsidP="005B7120">
            <w:pPr>
              <w:pStyle w:val="MDPI42tablebody"/>
              <w:jc w:val="left"/>
              <w:rPr>
                <w:sz w:val="16"/>
                <w:szCs w:val="16"/>
              </w:rPr>
            </w:pPr>
            <w:r w:rsidRPr="00E54537">
              <w:rPr>
                <w:sz w:val="16"/>
                <w:szCs w:val="16"/>
              </w:rPr>
              <w:t>Mean monthly costs of emergency visits during follow-up in patients with long COVID was $40.6 and $8.1 in patients without long COVID (HR=1.25 95%CI: 1.11-1.41) and of outpatient visits $611 and $-79.2 (HR=1.98 95%CI: 1.41-2.78)</w:t>
            </w:r>
          </w:p>
        </w:tc>
      </w:tr>
      <w:tr w:rsidR="005B7120" w:rsidRPr="00E54537" w14:paraId="6C827EA9" w14:textId="77777777" w:rsidTr="00C62F56">
        <w:trPr>
          <w:trHeight w:val="373"/>
          <w:jc w:val="right"/>
        </w:trPr>
        <w:tc>
          <w:tcPr>
            <w:tcW w:w="535" w:type="pct"/>
          </w:tcPr>
          <w:p w14:paraId="072B7D9C" w14:textId="77777777" w:rsidR="005B7120" w:rsidRPr="00E54537" w:rsidRDefault="005B7120" w:rsidP="005B7120">
            <w:pPr>
              <w:pStyle w:val="MDPI42tablebody"/>
              <w:jc w:val="left"/>
              <w:rPr>
                <w:sz w:val="16"/>
                <w:szCs w:val="16"/>
              </w:rPr>
            </w:pPr>
            <w:r w:rsidRPr="00E54537">
              <w:rPr>
                <w:sz w:val="16"/>
                <w:szCs w:val="16"/>
              </w:rPr>
              <w:t>Tufts 2023</w:t>
            </w:r>
          </w:p>
        </w:tc>
        <w:tc>
          <w:tcPr>
            <w:tcW w:w="988" w:type="pct"/>
          </w:tcPr>
          <w:p w14:paraId="2A7E88D7"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 xml:space="preserve">Long COVID; Longer-term symptoms of COVID; </w:t>
            </w:r>
          </w:p>
          <w:p w14:paraId="5354584D"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Exposed to COVID-19;</w:t>
            </w:r>
          </w:p>
          <w:p w14:paraId="65CC64A7" w14:textId="77777777" w:rsidR="005B7120" w:rsidRPr="00E54537" w:rsidRDefault="005B7120" w:rsidP="005B7120">
            <w:pPr>
              <w:pStyle w:val="MDPI42tablebody"/>
              <w:numPr>
                <w:ilvl w:val="0"/>
                <w:numId w:val="41"/>
              </w:numPr>
              <w:ind w:left="113" w:hanging="113"/>
              <w:jc w:val="left"/>
              <w:rPr>
                <w:sz w:val="16"/>
                <w:szCs w:val="16"/>
              </w:rPr>
            </w:pPr>
            <w:r w:rsidRPr="00E54537">
              <w:rPr>
                <w:sz w:val="16"/>
                <w:szCs w:val="16"/>
              </w:rPr>
              <w:t>Unexposed to COVID-19</w:t>
            </w:r>
          </w:p>
        </w:tc>
        <w:tc>
          <w:tcPr>
            <w:tcW w:w="552" w:type="pct"/>
          </w:tcPr>
          <w:p w14:paraId="6D3E3CF9" w14:textId="77777777" w:rsidR="005B7120" w:rsidRPr="00E54537" w:rsidRDefault="005B7120" w:rsidP="005B7120">
            <w:pPr>
              <w:pStyle w:val="MDPI42tablebody"/>
              <w:jc w:val="left"/>
              <w:rPr>
                <w:sz w:val="16"/>
                <w:szCs w:val="16"/>
              </w:rPr>
            </w:pPr>
            <w:r w:rsidRPr="00E54537">
              <w:rPr>
                <w:sz w:val="16"/>
                <w:szCs w:val="16"/>
              </w:rPr>
              <w:t>Min 12 weeks</w:t>
            </w:r>
          </w:p>
        </w:tc>
        <w:tc>
          <w:tcPr>
            <w:tcW w:w="2925" w:type="pct"/>
          </w:tcPr>
          <w:p w14:paraId="07B6024A" w14:textId="77777777" w:rsidR="005B7120" w:rsidRPr="00E54537" w:rsidRDefault="005B7120" w:rsidP="005B7120">
            <w:pPr>
              <w:pStyle w:val="MDPI42tablebody"/>
              <w:jc w:val="left"/>
              <w:rPr>
                <w:sz w:val="16"/>
                <w:szCs w:val="16"/>
              </w:rPr>
            </w:pPr>
            <w:r w:rsidRPr="00E54537">
              <w:rPr>
                <w:sz w:val="16"/>
                <w:szCs w:val="16"/>
              </w:rPr>
              <w:t>Among patients with COVID-19, a long COVID diagnosis and reporting of longer-term symptoms were associated with an over 3- and 6-fold increase in primary care consultation costs compared with patients unexposed to COVID-19, with incremental costs increase of £30.50 and £57.60 per patient, respectively</w:t>
            </w:r>
          </w:p>
        </w:tc>
      </w:tr>
      <w:tr w:rsidR="005B7120" w:rsidRPr="00E54537" w14:paraId="0C27C38C" w14:textId="77777777" w:rsidTr="003C19D7">
        <w:trPr>
          <w:trHeight w:val="373"/>
          <w:jc w:val="right"/>
        </w:trPr>
        <w:tc>
          <w:tcPr>
            <w:tcW w:w="5000" w:type="pct"/>
            <w:gridSpan w:val="4"/>
          </w:tcPr>
          <w:p w14:paraId="3C14FC81" w14:textId="5A856C04" w:rsidR="005B7120" w:rsidRPr="00E54537" w:rsidRDefault="005B7120" w:rsidP="005B7120">
            <w:pPr>
              <w:pStyle w:val="MDPI42tablebody"/>
              <w:jc w:val="left"/>
              <w:rPr>
                <w:sz w:val="16"/>
                <w:szCs w:val="16"/>
              </w:rPr>
            </w:pPr>
            <w:r w:rsidRPr="00E54537">
              <w:rPr>
                <w:b/>
                <w:bCs/>
                <w:sz w:val="16"/>
                <w:szCs w:val="16"/>
              </w:rPr>
              <w:t xml:space="preserve">Long-term </w:t>
            </w:r>
            <w:r w:rsidR="00C2212C" w:rsidRPr="00E54537">
              <w:rPr>
                <w:b/>
                <w:bCs/>
                <w:sz w:val="16"/>
                <w:szCs w:val="16"/>
              </w:rPr>
              <w:t>costs</w:t>
            </w:r>
            <w:r w:rsidRPr="00E54537">
              <w:rPr>
                <w:b/>
                <w:bCs/>
                <w:sz w:val="16"/>
                <w:szCs w:val="16"/>
              </w:rPr>
              <w:t xml:space="preserve"> in patients with COVID-19</w:t>
            </w:r>
          </w:p>
        </w:tc>
      </w:tr>
      <w:tr w:rsidR="004D2A0D" w:rsidRPr="00E54537" w14:paraId="627B800D" w14:textId="77777777" w:rsidTr="00C62F56">
        <w:trPr>
          <w:trHeight w:val="373"/>
          <w:jc w:val="right"/>
        </w:trPr>
        <w:tc>
          <w:tcPr>
            <w:tcW w:w="535" w:type="pct"/>
          </w:tcPr>
          <w:p w14:paraId="097D1939" w14:textId="2E0B4E25" w:rsidR="004D2A0D" w:rsidRPr="00E54537" w:rsidRDefault="004D2A0D" w:rsidP="004D2A0D">
            <w:pPr>
              <w:pStyle w:val="MDPI42tablebody"/>
              <w:jc w:val="left"/>
              <w:rPr>
                <w:sz w:val="16"/>
                <w:szCs w:val="16"/>
              </w:rPr>
            </w:pPr>
            <w:r w:rsidRPr="00E54537">
              <w:rPr>
                <w:sz w:val="16"/>
                <w:szCs w:val="16"/>
              </w:rPr>
              <w:t>Ashman 2023</w:t>
            </w:r>
          </w:p>
        </w:tc>
        <w:tc>
          <w:tcPr>
            <w:tcW w:w="988" w:type="pct"/>
          </w:tcPr>
          <w:p w14:paraId="1F3D4BFE" w14:textId="65A7D282" w:rsidR="004D2A0D" w:rsidRPr="00E54537" w:rsidRDefault="00A41E4C" w:rsidP="004D2A0D">
            <w:pPr>
              <w:pStyle w:val="MDPI42tablebody"/>
              <w:numPr>
                <w:ilvl w:val="0"/>
                <w:numId w:val="41"/>
              </w:numPr>
              <w:ind w:left="113" w:hanging="113"/>
              <w:jc w:val="left"/>
              <w:rPr>
                <w:sz w:val="16"/>
                <w:szCs w:val="16"/>
              </w:rPr>
            </w:pPr>
            <w:r w:rsidRPr="00E54537">
              <w:rPr>
                <w:sz w:val="16"/>
                <w:szCs w:val="16"/>
              </w:rPr>
              <w:t>Hospitalized COVID-19</w:t>
            </w:r>
          </w:p>
        </w:tc>
        <w:tc>
          <w:tcPr>
            <w:tcW w:w="552" w:type="pct"/>
          </w:tcPr>
          <w:p w14:paraId="0D99102A" w14:textId="02C1BF55" w:rsidR="004D2A0D" w:rsidRPr="00E54537" w:rsidRDefault="004D2A0D" w:rsidP="004D2A0D">
            <w:pPr>
              <w:pStyle w:val="MDPI42tablebody"/>
              <w:jc w:val="left"/>
              <w:rPr>
                <w:sz w:val="16"/>
                <w:szCs w:val="16"/>
              </w:rPr>
            </w:pPr>
            <w:r w:rsidRPr="00E54537">
              <w:rPr>
                <w:sz w:val="16"/>
                <w:szCs w:val="16"/>
              </w:rPr>
              <w:t>6 month</w:t>
            </w:r>
          </w:p>
        </w:tc>
        <w:tc>
          <w:tcPr>
            <w:tcW w:w="2925" w:type="pct"/>
          </w:tcPr>
          <w:p w14:paraId="440DDA46" w14:textId="71FFDC44" w:rsidR="004D2A0D" w:rsidRPr="00E54537" w:rsidRDefault="004C4B24" w:rsidP="004D2A0D">
            <w:pPr>
              <w:pStyle w:val="MDPI42tablebody"/>
              <w:jc w:val="both"/>
              <w:rPr>
                <w:sz w:val="16"/>
                <w:szCs w:val="16"/>
              </w:rPr>
            </w:pPr>
            <w:r w:rsidRPr="00E54537">
              <w:rPr>
                <w:sz w:val="16"/>
                <w:szCs w:val="16"/>
              </w:rPr>
              <w:t>Hospitalized</w:t>
            </w:r>
            <w:r w:rsidR="00814479" w:rsidRPr="00E54537">
              <w:rPr>
                <w:sz w:val="16"/>
                <w:szCs w:val="16"/>
              </w:rPr>
              <w:t xml:space="preserve"> COVID-19 patients incurred high outpatient costs. Outpatient care (i.e., visits with a registered COVID-19 diagnosis) during the 6 months of follow-up of 466 </w:t>
            </w:r>
            <w:r w:rsidRPr="00E54537">
              <w:rPr>
                <w:sz w:val="16"/>
                <w:szCs w:val="16"/>
              </w:rPr>
              <w:t>hospitalized</w:t>
            </w:r>
            <w:r w:rsidR="00814479" w:rsidRPr="00E54537">
              <w:rPr>
                <w:sz w:val="16"/>
                <w:szCs w:val="16"/>
              </w:rPr>
              <w:t xml:space="preserve"> COVID-19 patients amounted to €77,311.30 in Sweden.</w:t>
            </w:r>
          </w:p>
        </w:tc>
      </w:tr>
      <w:tr w:rsidR="004D2A0D" w:rsidRPr="00E54537" w14:paraId="67056714" w14:textId="77777777" w:rsidTr="00C62F56">
        <w:trPr>
          <w:trHeight w:val="373"/>
          <w:jc w:val="right"/>
        </w:trPr>
        <w:tc>
          <w:tcPr>
            <w:tcW w:w="535" w:type="pct"/>
          </w:tcPr>
          <w:p w14:paraId="78520201" w14:textId="47DBEEC3" w:rsidR="004D2A0D" w:rsidRPr="00E54537" w:rsidRDefault="004D2A0D" w:rsidP="004D2A0D">
            <w:pPr>
              <w:pStyle w:val="MDPI42tablebody"/>
              <w:jc w:val="left"/>
              <w:rPr>
                <w:sz w:val="16"/>
                <w:szCs w:val="16"/>
              </w:rPr>
            </w:pPr>
            <w:r w:rsidRPr="00E54537">
              <w:rPr>
                <w:sz w:val="16"/>
                <w:szCs w:val="16"/>
              </w:rPr>
              <w:t>Koumpias 2022</w:t>
            </w:r>
          </w:p>
        </w:tc>
        <w:tc>
          <w:tcPr>
            <w:tcW w:w="988" w:type="pct"/>
          </w:tcPr>
          <w:p w14:paraId="7D23EB47" w14:textId="5B639437" w:rsidR="004D2A0D" w:rsidRPr="00E54537" w:rsidRDefault="004D2A0D" w:rsidP="004D2A0D">
            <w:pPr>
              <w:pStyle w:val="MDPI42tablebody"/>
              <w:numPr>
                <w:ilvl w:val="0"/>
                <w:numId w:val="41"/>
              </w:numPr>
              <w:ind w:left="113" w:hanging="113"/>
              <w:jc w:val="left"/>
              <w:rPr>
                <w:sz w:val="16"/>
                <w:szCs w:val="16"/>
              </w:rPr>
            </w:pPr>
            <w:r w:rsidRPr="00E54537">
              <w:rPr>
                <w:sz w:val="16"/>
                <w:szCs w:val="16"/>
              </w:rPr>
              <w:t>Self-controlled study: pre and post COVID-19 diagnosis</w:t>
            </w:r>
          </w:p>
        </w:tc>
        <w:tc>
          <w:tcPr>
            <w:tcW w:w="552" w:type="pct"/>
          </w:tcPr>
          <w:p w14:paraId="6605FA00" w14:textId="1639F8F8" w:rsidR="004D2A0D" w:rsidRPr="00E54537" w:rsidRDefault="004D2A0D" w:rsidP="004D2A0D">
            <w:pPr>
              <w:pStyle w:val="MDPI42tablebody"/>
              <w:jc w:val="left"/>
              <w:rPr>
                <w:sz w:val="16"/>
                <w:szCs w:val="16"/>
              </w:rPr>
            </w:pPr>
            <w:r w:rsidRPr="00E54537">
              <w:rPr>
                <w:sz w:val="16"/>
                <w:szCs w:val="16"/>
              </w:rPr>
              <w:t>6 months before and after COVID-19 diagnosis</w:t>
            </w:r>
          </w:p>
        </w:tc>
        <w:tc>
          <w:tcPr>
            <w:tcW w:w="2925" w:type="pct"/>
          </w:tcPr>
          <w:p w14:paraId="0E54D1E8" w14:textId="2623DA91" w:rsidR="004D2A0D" w:rsidRPr="00E54537" w:rsidRDefault="004D2A0D" w:rsidP="004D2A0D">
            <w:pPr>
              <w:pStyle w:val="MDPI42tablebody"/>
              <w:jc w:val="both"/>
              <w:rPr>
                <w:sz w:val="16"/>
                <w:szCs w:val="16"/>
              </w:rPr>
            </w:pPr>
            <w:r w:rsidRPr="00E54537">
              <w:rPr>
                <w:sz w:val="16"/>
                <w:szCs w:val="16"/>
              </w:rPr>
              <w:t xml:space="preserve">During the post COVID-19 diagnosis period notable increases in medical expenditures for care delivered via telemedicine ($6.90, 95% CI: $6.72-$7.09; </w:t>
            </w:r>
            <w:r w:rsidRPr="00E54537">
              <w:rPr>
                <w:i/>
                <w:iCs/>
                <w:sz w:val="16"/>
                <w:szCs w:val="16"/>
              </w:rPr>
              <w:t xml:space="preserve">P </w:t>
            </w:r>
            <w:r w:rsidRPr="00E54537">
              <w:rPr>
                <w:sz w:val="16"/>
                <w:szCs w:val="16"/>
              </w:rPr>
              <w:t xml:space="preserve">&lt; 0.001) and for cardiology services ($3.43, 95% CI: $3.18-$3.67; </w:t>
            </w:r>
            <w:r w:rsidRPr="00E54537">
              <w:rPr>
                <w:i/>
                <w:iCs/>
                <w:sz w:val="16"/>
                <w:szCs w:val="16"/>
              </w:rPr>
              <w:t xml:space="preserve">P </w:t>
            </w:r>
            <w:r w:rsidRPr="00E54537">
              <w:rPr>
                <w:sz w:val="16"/>
                <w:szCs w:val="16"/>
              </w:rPr>
              <w:t xml:space="preserve">&lt; 0.001) was reported. An increase in emergency care costs was also observed of an additional $40.82 (95% CI: $39.01-$42.64; </w:t>
            </w:r>
            <w:r w:rsidRPr="00E54537">
              <w:rPr>
                <w:i/>
                <w:iCs/>
                <w:sz w:val="16"/>
                <w:szCs w:val="16"/>
              </w:rPr>
              <w:t xml:space="preserve">P </w:t>
            </w:r>
            <w:r w:rsidRPr="00E54537">
              <w:rPr>
                <w:sz w:val="16"/>
                <w:szCs w:val="16"/>
              </w:rPr>
              <w:t>&lt; 0.001).</w:t>
            </w:r>
          </w:p>
        </w:tc>
      </w:tr>
      <w:tr w:rsidR="004D2A0D" w:rsidRPr="00E54537" w14:paraId="1E384CEA" w14:textId="77777777" w:rsidTr="00C62F56">
        <w:trPr>
          <w:trHeight w:val="373"/>
          <w:jc w:val="right"/>
        </w:trPr>
        <w:tc>
          <w:tcPr>
            <w:tcW w:w="535" w:type="pct"/>
          </w:tcPr>
          <w:p w14:paraId="46376A3F" w14:textId="411A5D99" w:rsidR="004D2A0D" w:rsidRPr="00E54537" w:rsidRDefault="004D2A0D" w:rsidP="004D2A0D">
            <w:pPr>
              <w:pStyle w:val="MDPI42tablebody"/>
              <w:jc w:val="left"/>
              <w:rPr>
                <w:sz w:val="16"/>
                <w:szCs w:val="16"/>
              </w:rPr>
            </w:pPr>
            <w:r w:rsidRPr="00E54537">
              <w:rPr>
                <w:sz w:val="16"/>
                <w:szCs w:val="16"/>
              </w:rPr>
              <w:t>Chambers 2023</w:t>
            </w:r>
          </w:p>
        </w:tc>
        <w:tc>
          <w:tcPr>
            <w:tcW w:w="988" w:type="pct"/>
          </w:tcPr>
          <w:p w14:paraId="2B85834F"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56F3DF15" w14:textId="3C0B478A"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64C20D8E" w14:textId="17C44ACF" w:rsidR="004D2A0D" w:rsidRPr="00E54537" w:rsidRDefault="004D2A0D" w:rsidP="004D2A0D">
            <w:pPr>
              <w:pStyle w:val="MDPI42tablebody"/>
              <w:jc w:val="left"/>
              <w:rPr>
                <w:sz w:val="16"/>
                <w:szCs w:val="16"/>
              </w:rPr>
            </w:pPr>
            <w:r w:rsidRPr="00E54537">
              <w:rPr>
                <w:sz w:val="16"/>
                <w:szCs w:val="16"/>
              </w:rPr>
              <w:t>12 months</w:t>
            </w:r>
          </w:p>
        </w:tc>
        <w:tc>
          <w:tcPr>
            <w:tcW w:w="2925" w:type="pct"/>
          </w:tcPr>
          <w:p w14:paraId="038EF421" w14:textId="152548EE" w:rsidR="004D2A0D" w:rsidRPr="00E54537" w:rsidRDefault="004D2A0D" w:rsidP="004D2A0D">
            <w:pPr>
              <w:pStyle w:val="MDPI42tablebody"/>
              <w:jc w:val="left"/>
              <w:rPr>
                <w:sz w:val="16"/>
                <w:szCs w:val="16"/>
              </w:rPr>
            </w:pPr>
            <w:r w:rsidRPr="00E54537">
              <w:rPr>
                <w:sz w:val="16"/>
                <w:szCs w:val="16"/>
              </w:rPr>
              <w:t>A 14.8% increase in outpatient care spending and 11.4% in professional care spending were observed among US commercially insured COVID-19 patients compared with controls during the 12-month follow-up (excess costs were $22.65 and $21.26 for outpatient and professional services, respectively). Medicare Advantage patients experienced a greater increase in health care cost for outpatient service than controls (+44.9%) with an excess cost of $59.8.</w:t>
            </w:r>
          </w:p>
        </w:tc>
      </w:tr>
      <w:tr w:rsidR="004D2A0D" w:rsidRPr="00E54537" w14:paraId="23AD823F" w14:textId="77777777" w:rsidTr="00C62F56">
        <w:trPr>
          <w:trHeight w:val="373"/>
          <w:jc w:val="right"/>
        </w:trPr>
        <w:tc>
          <w:tcPr>
            <w:tcW w:w="535" w:type="pct"/>
          </w:tcPr>
          <w:p w14:paraId="7ADCBC2C" w14:textId="4107714C" w:rsidR="004D2A0D" w:rsidRPr="00E54537" w:rsidRDefault="004D2A0D" w:rsidP="004D2A0D">
            <w:pPr>
              <w:pStyle w:val="MDPI42tablebody"/>
              <w:jc w:val="left"/>
              <w:rPr>
                <w:sz w:val="16"/>
                <w:szCs w:val="16"/>
              </w:rPr>
            </w:pPr>
            <w:r w:rsidRPr="00E54537">
              <w:rPr>
                <w:sz w:val="16"/>
                <w:szCs w:val="16"/>
              </w:rPr>
              <w:t>Wolff Sagy 2023</w:t>
            </w:r>
          </w:p>
        </w:tc>
        <w:tc>
          <w:tcPr>
            <w:tcW w:w="988" w:type="pct"/>
          </w:tcPr>
          <w:p w14:paraId="55923C5C"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012BD701" w14:textId="662287C3"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09E3EDF3" w14:textId="55BF24B9" w:rsidR="004D2A0D" w:rsidRPr="00E54537" w:rsidRDefault="004D2A0D" w:rsidP="004D2A0D">
            <w:pPr>
              <w:pStyle w:val="MDPI42tablebody"/>
              <w:jc w:val="left"/>
              <w:rPr>
                <w:sz w:val="16"/>
                <w:szCs w:val="16"/>
              </w:rPr>
            </w:pPr>
            <w:r w:rsidRPr="00E54537">
              <w:rPr>
                <w:sz w:val="16"/>
                <w:szCs w:val="16"/>
              </w:rPr>
              <w:t>Median 9 months</w:t>
            </w:r>
          </w:p>
        </w:tc>
        <w:tc>
          <w:tcPr>
            <w:tcW w:w="2925" w:type="pct"/>
          </w:tcPr>
          <w:p w14:paraId="082C39AE" w14:textId="4DE5FB4B" w:rsidR="004D2A0D" w:rsidRPr="00E54537" w:rsidRDefault="004D2A0D" w:rsidP="004D2A0D">
            <w:pPr>
              <w:pStyle w:val="MDPI42tablebody"/>
              <w:jc w:val="left"/>
              <w:rPr>
                <w:sz w:val="16"/>
                <w:szCs w:val="16"/>
              </w:rPr>
            </w:pPr>
            <w:r w:rsidRPr="00E54537">
              <w:rPr>
                <w:sz w:val="16"/>
                <w:szCs w:val="16"/>
              </w:rPr>
              <w:t>Higher excess costs in patients with confirmed COVID-19 diagnosis compared to unexposed patients were observed for primary care (+7.5%), medical specialists’ visits (+8.0%), paramedical professions visits (+8.0%), ED visits (+6.8%), and ambulatory care visits (+8.4%).</w:t>
            </w:r>
          </w:p>
        </w:tc>
      </w:tr>
      <w:tr w:rsidR="004D2A0D" w:rsidRPr="00E54537" w14:paraId="51AD3D39" w14:textId="77777777" w:rsidTr="00C62F56">
        <w:trPr>
          <w:trHeight w:val="373"/>
          <w:jc w:val="right"/>
        </w:trPr>
        <w:tc>
          <w:tcPr>
            <w:tcW w:w="535" w:type="pct"/>
          </w:tcPr>
          <w:p w14:paraId="27D1D15B" w14:textId="517DE8EC" w:rsidR="004D2A0D" w:rsidRPr="00E54537" w:rsidRDefault="004D2A0D" w:rsidP="004D2A0D">
            <w:pPr>
              <w:pStyle w:val="MDPI42tablebody"/>
              <w:jc w:val="left"/>
              <w:rPr>
                <w:sz w:val="16"/>
                <w:szCs w:val="16"/>
              </w:rPr>
            </w:pPr>
            <w:r w:rsidRPr="00E54537">
              <w:rPr>
                <w:sz w:val="16"/>
                <w:szCs w:val="16"/>
              </w:rPr>
              <w:t>DeMartino 2022</w:t>
            </w:r>
          </w:p>
        </w:tc>
        <w:tc>
          <w:tcPr>
            <w:tcW w:w="988" w:type="pct"/>
          </w:tcPr>
          <w:p w14:paraId="665D9808"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375963FB" w14:textId="2F9E6AE3"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7B5D5871" w14:textId="6B77433B" w:rsidR="004D2A0D" w:rsidRPr="00E54537" w:rsidRDefault="004D2A0D" w:rsidP="004D2A0D">
            <w:pPr>
              <w:pStyle w:val="MDPI42tablebody"/>
              <w:jc w:val="left"/>
              <w:rPr>
                <w:sz w:val="16"/>
                <w:szCs w:val="16"/>
              </w:rPr>
            </w:pPr>
            <w:r w:rsidRPr="00E54537">
              <w:rPr>
                <w:sz w:val="16"/>
                <w:szCs w:val="16"/>
              </w:rPr>
              <w:t>6 months</w:t>
            </w:r>
          </w:p>
        </w:tc>
        <w:tc>
          <w:tcPr>
            <w:tcW w:w="2925" w:type="pct"/>
          </w:tcPr>
          <w:p w14:paraId="4716D319" w14:textId="10DAE5C7" w:rsidR="004D2A0D" w:rsidRPr="00E54537" w:rsidRDefault="004D2A0D" w:rsidP="004D2A0D">
            <w:pPr>
              <w:pStyle w:val="MDPI42tablebody"/>
              <w:jc w:val="left"/>
              <w:rPr>
                <w:sz w:val="16"/>
                <w:szCs w:val="16"/>
              </w:rPr>
            </w:pPr>
            <w:r w:rsidRPr="00E54537">
              <w:rPr>
                <w:sz w:val="16"/>
                <w:szCs w:val="16"/>
              </w:rPr>
              <w:t>Outpatient and ED costs were higher in patients with COVID-19 compared with those without the infection for up to 6 months from diagnosis in the case of commercial insurance and up to 3-5 months (depending on the setting) in the case of Medicare.</w:t>
            </w:r>
          </w:p>
        </w:tc>
      </w:tr>
      <w:tr w:rsidR="004D2A0D" w:rsidRPr="00E54537" w14:paraId="33C2F592" w14:textId="77777777" w:rsidTr="00481DC9">
        <w:trPr>
          <w:trHeight w:val="373"/>
          <w:jc w:val="right"/>
        </w:trPr>
        <w:tc>
          <w:tcPr>
            <w:tcW w:w="5000" w:type="pct"/>
            <w:gridSpan w:val="4"/>
            <w:shd w:val="clear" w:color="auto" w:fill="D9D9D9" w:themeFill="background1" w:themeFillShade="D9"/>
          </w:tcPr>
          <w:p w14:paraId="654218EC" w14:textId="64C902FB" w:rsidR="004D2A0D" w:rsidRPr="00E54537" w:rsidRDefault="004D2A0D" w:rsidP="004D2A0D">
            <w:pPr>
              <w:pStyle w:val="MDPI42tablebody"/>
              <w:jc w:val="left"/>
              <w:rPr>
                <w:b/>
                <w:bCs/>
                <w:sz w:val="16"/>
                <w:szCs w:val="16"/>
              </w:rPr>
            </w:pPr>
            <w:r w:rsidRPr="00E54537">
              <w:rPr>
                <w:b/>
                <w:bCs/>
                <w:sz w:val="16"/>
                <w:szCs w:val="16"/>
              </w:rPr>
              <w:t>Pharmaceutical</w:t>
            </w:r>
            <w:r w:rsidR="003C2F98" w:rsidRPr="00E54537">
              <w:rPr>
                <w:b/>
                <w:bCs/>
                <w:sz w:val="16"/>
                <w:szCs w:val="16"/>
              </w:rPr>
              <w:t xml:space="preserve"> costs</w:t>
            </w:r>
          </w:p>
        </w:tc>
      </w:tr>
      <w:tr w:rsidR="004D2A0D" w:rsidRPr="00E54537" w14:paraId="336E7A0E" w14:textId="77777777" w:rsidTr="000F319F">
        <w:trPr>
          <w:trHeight w:val="373"/>
          <w:jc w:val="right"/>
        </w:trPr>
        <w:tc>
          <w:tcPr>
            <w:tcW w:w="5000" w:type="pct"/>
            <w:gridSpan w:val="4"/>
          </w:tcPr>
          <w:p w14:paraId="36F6C19D" w14:textId="088A46ED" w:rsidR="004D2A0D" w:rsidRPr="00E54537" w:rsidRDefault="004D2A0D" w:rsidP="004D2A0D">
            <w:pPr>
              <w:pStyle w:val="MDPI42tablebody"/>
              <w:jc w:val="left"/>
              <w:rPr>
                <w:sz w:val="16"/>
                <w:szCs w:val="16"/>
              </w:rPr>
            </w:pPr>
            <w:r w:rsidRPr="00E54537">
              <w:rPr>
                <w:b/>
                <w:bCs/>
                <w:sz w:val="16"/>
                <w:szCs w:val="16"/>
              </w:rPr>
              <w:t>Long COVID</w:t>
            </w:r>
          </w:p>
        </w:tc>
      </w:tr>
      <w:tr w:rsidR="004D2A0D" w:rsidRPr="00E54537" w14:paraId="39A29C9C" w14:textId="77777777" w:rsidTr="00C62F56">
        <w:trPr>
          <w:trHeight w:val="373"/>
          <w:jc w:val="right"/>
        </w:trPr>
        <w:tc>
          <w:tcPr>
            <w:tcW w:w="535" w:type="pct"/>
          </w:tcPr>
          <w:p w14:paraId="5953A1BA" w14:textId="77777777" w:rsidR="004D2A0D" w:rsidRPr="00E54537" w:rsidRDefault="004D2A0D" w:rsidP="004D2A0D">
            <w:pPr>
              <w:pStyle w:val="MDPI42tablebody"/>
              <w:jc w:val="left"/>
              <w:rPr>
                <w:sz w:val="16"/>
                <w:szCs w:val="16"/>
              </w:rPr>
            </w:pPr>
            <w:r w:rsidRPr="00E54537">
              <w:rPr>
                <w:sz w:val="16"/>
                <w:szCs w:val="16"/>
              </w:rPr>
              <w:t>Tene 2023</w:t>
            </w:r>
          </w:p>
        </w:tc>
        <w:tc>
          <w:tcPr>
            <w:tcW w:w="988" w:type="pct"/>
          </w:tcPr>
          <w:p w14:paraId="20E15795"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 xml:space="preserve">Long COVID; </w:t>
            </w:r>
          </w:p>
          <w:p w14:paraId="7870458B" w14:textId="2D1F3281" w:rsidR="004D2A0D" w:rsidRPr="00E54537" w:rsidRDefault="004D2A0D" w:rsidP="004D2A0D">
            <w:pPr>
              <w:pStyle w:val="MDPI42tablebody"/>
              <w:numPr>
                <w:ilvl w:val="0"/>
                <w:numId w:val="41"/>
              </w:numPr>
              <w:ind w:left="113" w:hanging="113"/>
              <w:jc w:val="left"/>
              <w:rPr>
                <w:sz w:val="16"/>
                <w:szCs w:val="16"/>
              </w:rPr>
            </w:pPr>
            <w:r w:rsidRPr="00E54537">
              <w:rPr>
                <w:sz w:val="16"/>
                <w:szCs w:val="16"/>
              </w:rPr>
              <w:t>Non long COVID</w:t>
            </w:r>
          </w:p>
        </w:tc>
        <w:tc>
          <w:tcPr>
            <w:tcW w:w="552" w:type="pct"/>
          </w:tcPr>
          <w:p w14:paraId="0628D1B2" w14:textId="77777777" w:rsidR="004D2A0D" w:rsidRPr="00E54537" w:rsidRDefault="004D2A0D" w:rsidP="004D2A0D">
            <w:pPr>
              <w:pStyle w:val="MDPI42tablebody"/>
              <w:jc w:val="left"/>
              <w:rPr>
                <w:sz w:val="16"/>
                <w:szCs w:val="16"/>
              </w:rPr>
            </w:pPr>
            <w:r w:rsidRPr="00E54537">
              <w:rPr>
                <w:sz w:val="16"/>
                <w:szCs w:val="16"/>
              </w:rPr>
              <w:t>12 months</w:t>
            </w:r>
          </w:p>
        </w:tc>
        <w:tc>
          <w:tcPr>
            <w:tcW w:w="2925" w:type="pct"/>
          </w:tcPr>
          <w:p w14:paraId="6701583A" w14:textId="2C1B1F77" w:rsidR="004D2A0D" w:rsidRPr="00E54537" w:rsidRDefault="004D2A0D" w:rsidP="004D2A0D">
            <w:pPr>
              <w:pStyle w:val="MDPI42tablebody"/>
              <w:jc w:val="left"/>
              <w:rPr>
                <w:sz w:val="16"/>
                <w:szCs w:val="16"/>
              </w:rPr>
            </w:pPr>
            <w:r w:rsidRPr="00E54537">
              <w:rPr>
                <w:sz w:val="16"/>
                <w:szCs w:val="16"/>
              </w:rPr>
              <w:t xml:space="preserve">Mean monthly costs of </w:t>
            </w:r>
            <w:r w:rsidR="00D656E0" w:rsidRPr="00E54537">
              <w:rPr>
                <w:sz w:val="16"/>
                <w:szCs w:val="16"/>
              </w:rPr>
              <w:t>medication purchases</w:t>
            </w:r>
            <w:r w:rsidRPr="00E54537">
              <w:rPr>
                <w:sz w:val="16"/>
                <w:szCs w:val="16"/>
              </w:rPr>
              <w:t xml:space="preserve"> during follow-up in patients with long COVID was $11.8 and $8.6 in patients without long COVID (HR=1.60 95%CI: 0.83-3.28)</w:t>
            </w:r>
            <w:r w:rsidR="009A3948" w:rsidRPr="00E54537">
              <w:rPr>
                <w:sz w:val="16"/>
                <w:szCs w:val="16"/>
              </w:rPr>
              <w:t>.</w:t>
            </w:r>
          </w:p>
        </w:tc>
      </w:tr>
      <w:tr w:rsidR="004D2A0D" w:rsidRPr="00E54537" w14:paraId="7F8FB818" w14:textId="77777777" w:rsidTr="000F319F">
        <w:trPr>
          <w:trHeight w:val="373"/>
          <w:jc w:val="right"/>
        </w:trPr>
        <w:tc>
          <w:tcPr>
            <w:tcW w:w="5000" w:type="pct"/>
            <w:gridSpan w:val="4"/>
          </w:tcPr>
          <w:p w14:paraId="25B0829E" w14:textId="4ACB21AD" w:rsidR="004D2A0D" w:rsidRPr="00E54537" w:rsidRDefault="004D2A0D" w:rsidP="004D2A0D">
            <w:pPr>
              <w:pStyle w:val="MDPI42tablebody"/>
              <w:jc w:val="left"/>
              <w:rPr>
                <w:sz w:val="16"/>
                <w:szCs w:val="16"/>
              </w:rPr>
            </w:pPr>
            <w:r w:rsidRPr="00E54537">
              <w:rPr>
                <w:b/>
                <w:bCs/>
                <w:sz w:val="16"/>
                <w:szCs w:val="16"/>
              </w:rPr>
              <w:t>Long-term costs in patients with COVID-19</w:t>
            </w:r>
          </w:p>
        </w:tc>
      </w:tr>
      <w:tr w:rsidR="004D2A0D" w:rsidRPr="00E54537" w14:paraId="3A17F6B1" w14:textId="77777777" w:rsidTr="00C62F56">
        <w:trPr>
          <w:trHeight w:val="373"/>
          <w:jc w:val="right"/>
        </w:trPr>
        <w:tc>
          <w:tcPr>
            <w:tcW w:w="535" w:type="pct"/>
          </w:tcPr>
          <w:p w14:paraId="1A5EF96E" w14:textId="4B1AE129" w:rsidR="004D2A0D" w:rsidRPr="00E54537" w:rsidRDefault="004D2A0D" w:rsidP="004D2A0D">
            <w:pPr>
              <w:pStyle w:val="MDPI42tablebody"/>
              <w:jc w:val="left"/>
              <w:rPr>
                <w:sz w:val="16"/>
                <w:szCs w:val="16"/>
              </w:rPr>
            </w:pPr>
            <w:r w:rsidRPr="00E54537">
              <w:rPr>
                <w:sz w:val="16"/>
                <w:szCs w:val="16"/>
              </w:rPr>
              <w:t>Chambers 2023</w:t>
            </w:r>
          </w:p>
        </w:tc>
        <w:tc>
          <w:tcPr>
            <w:tcW w:w="988" w:type="pct"/>
          </w:tcPr>
          <w:p w14:paraId="613CC2A0"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4893B213" w14:textId="73036111"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652356D2" w14:textId="63AFCD6C" w:rsidR="004D2A0D" w:rsidRPr="00E54537" w:rsidRDefault="004D2A0D" w:rsidP="004D2A0D">
            <w:pPr>
              <w:pStyle w:val="MDPI42tablebody"/>
              <w:jc w:val="left"/>
              <w:rPr>
                <w:sz w:val="16"/>
                <w:szCs w:val="16"/>
              </w:rPr>
            </w:pPr>
            <w:r w:rsidRPr="00E54537">
              <w:rPr>
                <w:sz w:val="16"/>
                <w:szCs w:val="16"/>
              </w:rPr>
              <w:t>12 months</w:t>
            </w:r>
          </w:p>
        </w:tc>
        <w:tc>
          <w:tcPr>
            <w:tcW w:w="2925" w:type="pct"/>
          </w:tcPr>
          <w:p w14:paraId="17C6A0EA" w14:textId="5BB96445" w:rsidR="004D2A0D" w:rsidRPr="00E54537" w:rsidRDefault="004D2A0D" w:rsidP="004D2A0D">
            <w:pPr>
              <w:pStyle w:val="MDPI42tablebody"/>
              <w:jc w:val="left"/>
              <w:rPr>
                <w:sz w:val="16"/>
                <w:szCs w:val="16"/>
              </w:rPr>
            </w:pPr>
            <w:r w:rsidRPr="00E54537">
              <w:rPr>
                <w:sz w:val="16"/>
                <w:szCs w:val="16"/>
              </w:rPr>
              <w:t>A modest -6.4% (-$7.69) decrease in medication costs was observed among US commercially insured COVID-19 patients compared with controls. Medicare Advantage COVID-19 patients experienced a 19% ($27.73) increase in pharmacy costs</w:t>
            </w:r>
            <w:r w:rsidRPr="00E54537">
              <w:rPr>
                <w:b/>
                <w:bCs/>
                <w:sz w:val="16"/>
                <w:szCs w:val="16"/>
              </w:rPr>
              <w:t xml:space="preserve"> </w:t>
            </w:r>
            <w:r w:rsidRPr="00E54537">
              <w:rPr>
                <w:sz w:val="16"/>
                <w:szCs w:val="16"/>
              </w:rPr>
              <w:t>compared with controls.</w:t>
            </w:r>
          </w:p>
        </w:tc>
      </w:tr>
      <w:tr w:rsidR="004D2A0D" w:rsidRPr="00E54537" w14:paraId="53FD0F98" w14:textId="77777777" w:rsidTr="00C62F56">
        <w:trPr>
          <w:trHeight w:val="373"/>
          <w:jc w:val="right"/>
        </w:trPr>
        <w:tc>
          <w:tcPr>
            <w:tcW w:w="535" w:type="pct"/>
          </w:tcPr>
          <w:p w14:paraId="2AD0FEE6" w14:textId="6A689900" w:rsidR="004D2A0D" w:rsidRPr="00E54537" w:rsidRDefault="004D2A0D" w:rsidP="004D2A0D">
            <w:pPr>
              <w:pStyle w:val="MDPI42tablebody"/>
              <w:jc w:val="left"/>
              <w:rPr>
                <w:sz w:val="16"/>
                <w:szCs w:val="16"/>
              </w:rPr>
            </w:pPr>
            <w:r w:rsidRPr="00E54537">
              <w:rPr>
                <w:sz w:val="16"/>
                <w:szCs w:val="16"/>
              </w:rPr>
              <w:t>Wolff Sagy 2023</w:t>
            </w:r>
          </w:p>
        </w:tc>
        <w:tc>
          <w:tcPr>
            <w:tcW w:w="988" w:type="pct"/>
          </w:tcPr>
          <w:p w14:paraId="49C27D00"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2ECF8257" w14:textId="45424756"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69C813B4" w14:textId="1AB77C05" w:rsidR="004D2A0D" w:rsidRPr="00E54537" w:rsidRDefault="004D2A0D" w:rsidP="004D2A0D">
            <w:pPr>
              <w:pStyle w:val="MDPI42tablebody"/>
              <w:jc w:val="left"/>
              <w:rPr>
                <w:sz w:val="16"/>
                <w:szCs w:val="16"/>
              </w:rPr>
            </w:pPr>
            <w:r w:rsidRPr="00E54537">
              <w:rPr>
                <w:sz w:val="16"/>
                <w:szCs w:val="16"/>
              </w:rPr>
              <w:t>Median 9 months</w:t>
            </w:r>
          </w:p>
        </w:tc>
        <w:tc>
          <w:tcPr>
            <w:tcW w:w="2925" w:type="pct"/>
          </w:tcPr>
          <w:p w14:paraId="3BA8C0E6" w14:textId="74EAA9CF" w:rsidR="004D2A0D" w:rsidRPr="00E54537" w:rsidRDefault="004D2A0D" w:rsidP="004D2A0D">
            <w:pPr>
              <w:pStyle w:val="MDPI42tablebody"/>
              <w:jc w:val="left"/>
              <w:rPr>
                <w:sz w:val="16"/>
                <w:szCs w:val="16"/>
              </w:rPr>
            </w:pPr>
            <w:r w:rsidRPr="00E54537">
              <w:rPr>
                <w:sz w:val="16"/>
                <w:szCs w:val="16"/>
              </w:rPr>
              <w:t>A modest -6.1% (-$0.53) decrease in medication costs was observed among COVID-19 patients compared with controls.</w:t>
            </w:r>
          </w:p>
        </w:tc>
      </w:tr>
      <w:tr w:rsidR="004D2A0D" w:rsidRPr="00E54537" w14:paraId="2E44171F" w14:textId="77777777" w:rsidTr="00C62F56">
        <w:trPr>
          <w:trHeight w:val="373"/>
          <w:jc w:val="right"/>
        </w:trPr>
        <w:tc>
          <w:tcPr>
            <w:tcW w:w="535" w:type="pct"/>
          </w:tcPr>
          <w:p w14:paraId="5202D1F0" w14:textId="0CE5D7F7" w:rsidR="004D2A0D" w:rsidRPr="00E54537" w:rsidRDefault="004D2A0D" w:rsidP="004D2A0D">
            <w:pPr>
              <w:pStyle w:val="MDPI42tablebody"/>
              <w:jc w:val="left"/>
              <w:rPr>
                <w:sz w:val="16"/>
                <w:szCs w:val="16"/>
              </w:rPr>
            </w:pPr>
            <w:r w:rsidRPr="00E54537">
              <w:rPr>
                <w:sz w:val="16"/>
                <w:szCs w:val="16"/>
              </w:rPr>
              <w:t>DeMartino 2022</w:t>
            </w:r>
          </w:p>
        </w:tc>
        <w:tc>
          <w:tcPr>
            <w:tcW w:w="988" w:type="pct"/>
          </w:tcPr>
          <w:p w14:paraId="689AD9D9"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513CC2F9" w14:textId="17A43FBD"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23109BAE" w14:textId="132DEA56" w:rsidR="004D2A0D" w:rsidRPr="00E54537" w:rsidRDefault="004D2A0D" w:rsidP="004D2A0D">
            <w:pPr>
              <w:pStyle w:val="MDPI42tablebody"/>
              <w:jc w:val="left"/>
              <w:rPr>
                <w:sz w:val="16"/>
                <w:szCs w:val="16"/>
              </w:rPr>
            </w:pPr>
            <w:r w:rsidRPr="00E54537">
              <w:rPr>
                <w:sz w:val="16"/>
                <w:szCs w:val="16"/>
              </w:rPr>
              <w:t>6 months</w:t>
            </w:r>
          </w:p>
        </w:tc>
        <w:tc>
          <w:tcPr>
            <w:tcW w:w="2925" w:type="pct"/>
          </w:tcPr>
          <w:p w14:paraId="4F313827" w14:textId="50F16F86" w:rsidR="004D2A0D" w:rsidRPr="00E54537" w:rsidRDefault="004D2A0D" w:rsidP="004D2A0D">
            <w:pPr>
              <w:pStyle w:val="MDPI42tablebody"/>
              <w:jc w:val="left"/>
              <w:rPr>
                <w:sz w:val="16"/>
                <w:szCs w:val="16"/>
              </w:rPr>
            </w:pPr>
            <w:r w:rsidRPr="00E54537">
              <w:rPr>
                <w:sz w:val="16"/>
                <w:szCs w:val="16"/>
              </w:rPr>
              <w:t>Pharmacy costs remained relatively constant in patients with COVID-19 diagnoses and were comparable to controls.</w:t>
            </w:r>
          </w:p>
        </w:tc>
      </w:tr>
      <w:tr w:rsidR="004D2A0D" w:rsidRPr="00E54537" w14:paraId="02A968C5" w14:textId="77777777" w:rsidTr="00C62F56">
        <w:trPr>
          <w:trHeight w:val="373"/>
          <w:jc w:val="right"/>
        </w:trPr>
        <w:tc>
          <w:tcPr>
            <w:tcW w:w="535" w:type="pct"/>
          </w:tcPr>
          <w:p w14:paraId="5F7EDB25" w14:textId="12DA58D3" w:rsidR="004D2A0D" w:rsidRPr="00E54537" w:rsidRDefault="004D2A0D" w:rsidP="004D2A0D">
            <w:pPr>
              <w:pStyle w:val="MDPI42tablebody"/>
              <w:jc w:val="left"/>
              <w:rPr>
                <w:sz w:val="16"/>
                <w:szCs w:val="16"/>
              </w:rPr>
            </w:pPr>
            <w:r w:rsidRPr="00E54537">
              <w:rPr>
                <w:sz w:val="16"/>
                <w:szCs w:val="16"/>
              </w:rPr>
              <w:t>Gordon 2023</w:t>
            </w:r>
          </w:p>
        </w:tc>
        <w:tc>
          <w:tcPr>
            <w:tcW w:w="988" w:type="pct"/>
          </w:tcPr>
          <w:p w14:paraId="5D8E5BE2" w14:textId="77777777" w:rsidR="004D2A0D" w:rsidRPr="00E54537" w:rsidRDefault="004D2A0D" w:rsidP="004D2A0D">
            <w:pPr>
              <w:pStyle w:val="MDPI42tablebody"/>
              <w:numPr>
                <w:ilvl w:val="0"/>
                <w:numId w:val="41"/>
              </w:numPr>
              <w:ind w:left="113" w:hanging="113"/>
              <w:jc w:val="left"/>
              <w:rPr>
                <w:sz w:val="16"/>
                <w:szCs w:val="16"/>
              </w:rPr>
            </w:pPr>
            <w:r w:rsidRPr="00E54537">
              <w:rPr>
                <w:sz w:val="16"/>
                <w:szCs w:val="16"/>
              </w:rPr>
              <w:t>COVID-19</w:t>
            </w:r>
          </w:p>
          <w:p w14:paraId="20AA08E3" w14:textId="3967E703" w:rsidR="004D2A0D" w:rsidRPr="00E54537" w:rsidRDefault="004D2A0D" w:rsidP="004D2A0D">
            <w:pPr>
              <w:pStyle w:val="MDPI42tablebody"/>
              <w:numPr>
                <w:ilvl w:val="0"/>
                <w:numId w:val="41"/>
              </w:numPr>
              <w:ind w:left="113" w:hanging="113"/>
              <w:jc w:val="left"/>
              <w:rPr>
                <w:sz w:val="16"/>
                <w:szCs w:val="16"/>
              </w:rPr>
            </w:pPr>
            <w:r w:rsidRPr="00E54537">
              <w:rPr>
                <w:sz w:val="16"/>
                <w:szCs w:val="16"/>
              </w:rPr>
              <w:t>Without COVID-19</w:t>
            </w:r>
          </w:p>
        </w:tc>
        <w:tc>
          <w:tcPr>
            <w:tcW w:w="552" w:type="pct"/>
          </w:tcPr>
          <w:p w14:paraId="3623BC44" w14:textId="621625DF" w:rsidR="004D2A0D" w:rsidRPr="00E54537" w:rsidRDefault="004D2A0D" w:rsidP="004D2A0D">
            <w:pPr>
              <w:pStyle w:val="MDPI42tablebody"/>
              <w:jc w:val="left"/>
              <w:rPr>
                <w:sz w:val="16"/>
                <w:szCs w:val="16"/>
              </w:rPr>
            </w:pPr>
            <w:r w:rsidRPr="00E54537">
              <w:rPr>
                <w:sz w:val="16"/>
                <w:szCs w:val="16"/>
              </w:rPr>
              <w:t>3-6 months after infection</w:t>
            </w:r>
          </w:p>
        </w:tc>
        <w:tc>
          <w:tcPr>
            <w:tcW w:w="2925" w:type="pct"/>
          </w:tcPr>
          <w:p w14:paraId="13FA4157" w14:textId="088E1464" w:rsidR="004D2A0D" w:rsidRPr="00E54537" w:rsidRDefault="004D2A0D" w:rsidP="004D2A0D">
            <w:pPr>
              <w:pStyle w:val="MDPI42tablebody"/>
              <w:jc w:val="left"/>
              <w:rPr>
                <w:sz w:val="16"/>
                <w:szCs w:val="16"/>
              </w:rPr>
            </w:pPr>
            <w:r w:rsidRPr="00E54537">
              <w:rPr>
                <w:sz w:val="16"/>
                <w:szCs w:val="16"/>
              </w:rPr>
              <w:t>A slight but statistically significant decrease in pharmacy costs in the COVID-19 group compared with the control was observed.</w:t>
            </w:r>
          </w:p>
        </w:tc>
      </w:tr>
    </w:tbl>
    <w:p w14:paraId="2E5EE9F6" w14:textId="0670AB87" w:rsidR="00A15B73" w:rsidRPr="00E54537" w:rsidRDefault="00484B9D" w:rsidP="00041082">
      <w:pPr>
        <w:pStyle w:val="MDPI31text"/>
        <w:ind w:left="0" w:firstLine="0"/>
        <w:rPr>
          <w:sz w:val="16"/>
          <w:szCs w:val="16"/>
        </w:rPr>
      </w:pPr>
      <w:r w:rsidRPr="00E54537">
        <w:rPr>
          <w:sz w:val="16"/>
          <w:szCs w:val="16"/>
        </w:rPr>
        <w:t xml:space="preserve">Abbreviations: </w:t>
      </w:r>
      <w:r w:rsidR="002348C9" w:rsidRPr="00E54537">
        <w:rPr>
          <w:sz w:val="16"/>
          <w:szCs w:val="16"/>
        </w:rPr>
        <w:t>HR</w:t>
      </w:r>
      <w:r w:rsidRPr="00E54537">
        <w:rPr>
          <w:sz w:val="16"/>
          <w:szCs w:val="16"/>
        </w:rPr>
        <w:t>,</w:t>
      </w:r>
      <w:r w:rsidR="002348C9" w:rsidRPr="00E54537">
        <w:rPr>
          <w:sz w:val="16"/>
          <w:szCs w:val="16"/>
        </w:rPr>
        <w:t xml:space="preserve"> hazard ratio; ED</w:t>
      </w:r>
      <w:r w:rsidRPr="00E54537">
        <w:rPr>
          <w:sz w:val="16"/>
          <w:szCs w:val="16"/>
        </w:rPr>
        <w:t xml:space="preserve">, </w:t>
      </w:r>
      <w:r w:rsidR="002348C9" w:rsidRPr="00E54537">
        <w:rPr>
          <w:sz w:val="16"/>
          <w:szCs w:val="16"/>
        </w:rPr>
        <w:t>emergency department</w:t>
      </w:r>
    </w:p>
    <w:p w14:paraId="3E1766EB" w14:textId="77777777" w:rsidR="00C62F56" w:rsidRPr="00E54537" w:rsidRDefault="00C62F56" w:rsidP="000B1F27">
      <w:pPr>
        <w:pStyle w:val="MDPI41tablecaption"/>
        <w:ind w:left="0"/>
        <w:sectPr w:rsidR="00C62F56" w:rsidRPr="00E54537" w:rsidSect="000F0F33">
          <w:pgSz w:w="16838" w:h="11906" w:orient="landscape" w:code="9"/>
          <w:pgMar w:top="720" w:right="1418" w:bottom="720" w:left="1077" w:header="1021" w:footer="340" w:gutter="0"/>
          <w:lnNumType w:countBy="1" w:distance="255" w:restart="continuous"/>
          <w:pgNumType w:start="1"/>
          <w:cols w:space="425"/>
          <w:titlePg/>
          <w:bidi/>
          <w:docGrid w:type="lines" w:linePitch="326"/>
        </w:sectPr>
      </w:pPr>
    </w:p>
    <w:p w14:paraId="0112A0BB" w14:textId="77777777" w:rsidR="000B1F27" w:rsidRPr="00E54537" w:rsidRDefault="000B1F27" w:rsidP="000B1F27">
      <w:pPr>
        <w:pStyle w:val="MDPI41tablecaption"/>
        <w:ind w:left="0"/>
      </w:pPr>
    </w:p>
    <w:sectPr w:rsidR="000B1F27" w:rsidRPr="00E54537" w:rsidSect="000F0F33">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908F" w14:textId="77777777" w:rsidR="00A9470B" w:rsidRDefault="00A9470B">
      <w:pPr>
        <w:spacing w:line="240" w:lineRule="auto"/>
      </w:pPr>
      <w:r>
        <w:separator/>
      </w:r>
    </w:p>
  </w:endnote>
  <w:endnote w:type="continuationSeparator" w:id="0">
    <w:p w14:paraId="00E8AEE2" w14:textId="77777777" w:rsidR="00A9470B" w:rsidRDefault="00A9470B">
      <w:pPr>
        <w:spacing w:line="240" w:lineRule="auto"/>
      </w:pPr>
      <w:r>
        <w:continuationSeparator/>
      </w:r>
    </w:p>
  </w:endnote>
  <w:endnote w:type="continuationNotice" w:id="1">
    <w:p w14:paraId="378355E0" w14:textId="77777777" w:rsidR="00A9470B" w:rsidRDefault="00A947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4E8B" w14:textId="77777777" w:rsidR="00151E16" w:rsidRPr="00F63698" w:rsidRDefault="00151E16" w:rsidP="00151E1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8CB5" w14:textId="77777777" w:rsidR="00957EF8" w:rsidRDefault="00957EF8" w:rsidP="008E1E9E">
    <w:pPr>
      <w:pBdr>
        <w:top w:val="single" w:sz="4" w:space="0" w:color="000000"/>
      </w:pBdr>
      <w:tabs>
        <w:tab w:val="right" w:pos="8844"/>
      </w:tabs>
      <w:adjustRightInd w:val="0"/>
      <w:snapToGrid w:val="0"/>
      <w:spacing w:before="480" w:line="100" w:lineRule="exact"/>
      <w:jc w:val="left"/>
      <w:rPr>
        <w:i/>
        <w:sz w:val="16"/>
        <w:szCs w:val="16"/>
      </w:rPr>
    </w:pPr>
  </w:p>
  <w:p w14:paraId="3C56AAF6" w14:textId="77777777" w:rsidR="00151E16" w:rsidRPr="00372FCD" w:rsidRDefault="00151E16" w:rsidP="0079253B">
    <w:pPr>
      <w:tabs>
        <w:tab w:val="right" w:pos="10466"/>
      </w:tabs>
      <w:adjustRightInd w:val="0"/>
      <w:snapToGrid w:val="0"/>
      <w:spacing w:line="240" w:lineRule="auto"/>
      <w:rPr>
        <w:sz w:val="16"/>
        <w:szCs w:val="16"/>
        <w:lang w:val="fr-CH"/>
      </w:rPr>
    </w:pPr>
    <w:r w:rsidRPr="00177D04">
      <w:rPr>
        <w:i/>
        <w:sz w:val="16"/>
        <w:szCs w:val="16"/>
        <w:lang w:val="es-ES_tradnl"/>
      </w:rPr>
      <w:t xml:space="preserve">Vaccines </w:t>
    </w:r>
    <w:r w:rsidR="00516C2B" w:rsidRPr="00177D04">
      <w:rPr>
        <w:b/>
        <w:bCs/>
        <w:iCs/>
        <w:sz w:val="16"/>
        <w:szCs w:val="16"/>
        <w:lang w:val="es-ES_tradnl"/>
      </w:rPr>
      <w:t>2024</w:t>
    </w:r>
    <w:r w:rsidR="009661C0" w:rsidRPr="00177D04">
      <w:rPr>
        <w:bCs/>
        <w:iCs/>
        <w:sz w:val="16"/>
        <w:szCs w:val="16"/>
        <w:lang w:val="es-ES_tradnl"/>
      </w:rPr>
      <w:t>,</w:t>
    </w:r>
    <w:r w:rsidR="00516C2B" w:rsidRPr="00177D04">
      <w:rPr>
        <w:bCs/>
        <w:i/>
        <w:iCs/>
        <w:sz w:val="16"/>
        <w:szCs w:val="16"/>
        <w:lang w:val="es-ES_tradnl"/>
      </w:rPr>
      <w:t xml:space="preserve"> 12</w:t>
    </w:r>
    <w:r w:rsidR="009661C0" w:rsidRPr="00177D04">
      <w:rPr>
        <w:bCs/>
        <w:iCs/>
        <w:sz w:val="16"/>
        <w:szCs w:val="16"/>
        <w:lang w:val="es-ES_tradnl"/>
      </w:rPr>
      <w:t xml:space="preserve">, </w:t>
    </w:r>
    <w:r w:rsidR="00FC7880" w:rsidRPr="00177D04">
      <w:rPr>
        <w:bCs/>
        <w:iCs/>
        <w:sz w:val="16"/>
        <w:szCs w:val="16"/>
        <w:lang w:val="es-ES_tradnl"/>
      </w:rPr>
      <w:t>x</w:t>
    </w:r>
    <w:r w:rsidR="00957EF8" w:rsidRPr="00177D04">
      <w:rPr>
        <w:bCs/>
        <w:iCs/>
        <w:sz w:val="16"/>
        <w:szCs w:val="16"/>
        <w:lang w:val="es-ES_tradnl"/>
      </w:rPr>
      <w:t>. https://doi.org/10.3390/xxxxx</w:t>
    </w:r>
    <w:r w:rsidR="0079253B" w:rsidRPr="00372FCD">
      <w:rPr>
        <w:sz w:val="16"/>
        <w:szCs w:val="16"/>
        <w:lang w:val="fr-CH"/>
      </w:rPr>
      <w:tab/>
    </w:r>
    <w:r w:rsidRPr="00372FCD">
      <w:rPr>
        <w:sz w:val="16"/>
        <w:szCs w:val="16"/>
        <w:lang w:val="fr-CH"/>
      </w:rPr>
      <w:t>www.mdpi.com/journal/</w:t>
    </w:r>
    <w:r w:rsidRPr="00177D04">
      <w:rPr>
        <w:sz w:val="16"/>
        <w:szCs w:val="16"/>
        <w:lang w:val="es-ES_tradnl"/>
      </w:rPr>
      <w:t>vaccines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7254" w14:textId="77777777" w:rsidR="00A9470B" w:rsidRDefault="00A9470B">
      <w:pPr>
        <w:spacing w:line="240" w:lineRule="auto"/>
      </w:pPr>
      <w:r>
        <w:separator/>
      </w:r>
    </w:p>
  </w:footnote>
  <w:footnote w:type="continuationSeparator" w:id="0">
    <w:p w14:paraId="452FC6BF" w14:textId="77777777" w:rsidR="00A9470B" w:rsidRDefault="00A9470B">
      <w:pPr>
        <w:spacing w:line="240" w:lineRule="auto"/>
      </w:pPr>
      <w:r>
        <w:continuationSeparator/>
      </w:r>
    </w:p>
  </w:footnote>
  <w:footnote w:type="continuationNotice" w:id="1">
    <w:p w14:paraId="73BB8301" w14:textId="77777777" w:rsidR="00A9470B" w:rsidRDefault="00A947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6C76" w14:textId="77777777" w:rsidR="00151E16" w:rsidRDefault="00151E16" w:rsidP="00151E1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EF74" w14:textId="77777777" w:rsidR="00957EF8" w:rsidRDefault="00151E16" w:rsidP="0079253B">
    <w:pPr>
      <w:tabs>
        <w:tab w:val="right" w:pos="10466"/>
      </w:tabs>
      <w:adjustRightInd w:val="0"/>
      <w:snapToGrid w:val="0"/>
      <w:spacing w:line="240" w:lineRule="auto"/>
      <w:rPr>
        <w:sz w:val="16"/>
      </w:rPr>
    </w:pPr>
    <w:r>
      <w:rPr>
        <w:i/>
        <w:sz w:val="16"/>
      </w:rPr>
      <w:t xml:space="preserve">Vaccines </w:t>
    </w:r>
    <w:r w:rsidR="00516C2B">
      <w:rPr>
        <w:b/>
        <w:sz w:val="16"/>
      </w:rPr>
      <w:t>2024</w:t>
    </w:r>
    <w:r w:rsidR="009661C0" w:rsidRPr="009661C0">
      <w:rPr>
        <w:sz w:val="16"/>
      </w:rPr>
      <w:t>,</w:t>
    </w:r>
    <w:r w:rsidR="00516C2B">
      <w:rPr>
        <w:i/>
        <w:sz w:val="16"/>
      </w:rPr>
      <w:t xml:space="preserve"> 12</w:t>
    </w:r>
    <w:r w:rsidR="00FC7880">
      <w:rPr>
        <w:sz w:val="16"/>
      </w:rPr>
      <w:t>, x FOR PEER REVIEW</w:t>
    </w:r>
    <w:r w:rsidR="0079253B">
      <w:rPr>
        <w:sz w:val="16"/>
      </w:rPr>
      <w:tab/>
    </w:r>
    <w:r w:rsidR="00FC7880">
      <w:rPr>
        <w:sz w:val="16"/>
      </w:rPr>
      <w:fldChar w:fldCharType="begin"/>
    </w:r>
    <w:r w:rsidR="00FC7880">
      <w:rPr>
        <w:sz w:val="16"/>
      </w:rPr>
      <w:instrText xml:space="preserve"> PAGE   \* MERGEFORMAT </w:instrText>
    </w:r>
    <w:r w:rsidR="00FC7880">
      <w:rPr>
        <w:sz w:val="16"/>
      </w:rPr>
      <w:fldChar w:fldCharType="separate"/>
    </w:r>
    <w:r w:rsidR="00FC1F53">
      <w:rPr>
        <w:sz w:val="16"/>
      </w:rPr>
      <w:t>4</w:t>
    </w:r>
    <w:r w:rsidR="00FC7880">
      <w:rPr>
        <w:sz w:val="16"/>
      </w:rPr>
      <w:fldChar w:fldCharType="end"/>
    </w:r>
    <w:r w:rsidR="00FC7880">
      <w:rPr>
        <w:sz w:val="16"/>
      </w:rPr>
      <w:t xml:space="preserve"> of </w:t>
    </w:r>
    <w:r w:rsidR="00FC7880">
      <w:rPr>
        <w:sz w:val="16"/>
      </w:rPr>
      <w:fldChar w:fldCharType="begin"/>
    </w:r>
    <w:r w:rsidR="00FC7880">
      <w:rPr>
        <w:sz w:val="16"/>
      </w:rPr>
      <w:instrText xml:space="preserve"> NUMPAGES   \* MERGEFORMAT </w:instrText>
    </w:r>
    <w:r w:rsidR="00FC7880">
      <w:rPr>
        <w:sz w:val="16"/>
      </w:rPr>
      <w:fldChar w:fldCharType="separate"/>
    </w:r>
    <w:r w:rsidR="00FC1F53">
      <w:rPr>
        <w:sz w:val="16"/>
      </w:rPr>
      <w:t>5</w:t>
    </w:r>
    <w:r w:rsidR="00FC7880">
      <w:rPr>
        <w:sz w:val="16"/>
      </w:rPr>
      <w:fldChar w:fldCharType="end"/>
    </w:r>
  </w:p>
  <w:p w14:paraId="59723185" w14:textId="77777777" w:rsidR="00151E16" w:rsidRPr="0010772D" w:rsidRDefault="00151E16" w:rsidP="008E1E9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957EF8" w:rsidRPr="0079253B" w14:paraId="41F192C0" w14:textId="77777777" w:rsidTr="00DD7900">
      <w:trPr>
        <w:trHeight w:val="686"/>
      </w:trPr>
      <w:tc>
        <w:tcPr>
          <w:tcW w:w="3679" w:type="dxa"/>
          <w:shd w:val="clear" w:color="auto" w:fill="auto"/>
          <w:vAlign w:val="center"/>
        </w:tcPr>
        <w:p w14:paraId="5EFD5BCC" w14:textId="77777777" w:rsidR="00957EF8" w:rsidRPr="00E57C04" w:rsidRDefault="00701BE5" w:rsidP="0079253B">
          <w:pPr>
            <w:pStyle w:val="Header"/>
            <w:pBdr>
              <w:bottom w:val="none" w:sz="0" w:space="0" w:color="auto"/>
            </w:pBdr>
            <w:jc w:val="left"/>
            <w:rPr>
              <w:rFonts w:eastAsia="DengXian"/>
              <w:b/>
              <w:bCs/>
            </w:rPr>
          </w:pPr>
          <w:r w:rsidRPr="00A8173B">
            <w:rPr>
              <w:noProof/>
            </w:rPr>
            <w:drawing>
              <wp:inline distT="0" distB="0" distL="0" distR="0" wp14:anchorId="3267E432" wp14:editId="56AA26D5">
                <wp:extent cx="1433830" cy="429260"/>
                <wp:effectExtent l="0" t="0" r="0" b="0"/>
                <wp:docPr id="1416301717" name="Picture 141630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429260"/>
                        </a:xfrm>
                        <a:prstGeom prst="rect">
                          <a:avLst/>
                        </a:prstGeom>
                        <a:noFill/>
                        <a:ln>
                          <a:noFill/>
                        </a:ln>
                      </pic:spPr>
                    </pic:pic>
                  </a:graphicData>
                </a:graphic>
              </wp:inline>
            </w:drawing>
          </w:r>
        </w:p>
      </w:tc>
      <w:tc>
        <w:tcPr>
          <w:tcW w:w="4535" w:type="dxa"/>
          <w:shd w:val="clear" w:color="auto" w:fill="auto"/>
          <w:vAlign w:val="center"/>
        </w:tcPr>
        <w:p w14:paraId="38B7831E" w14:textId="77777777" w:rsidR="00957EF8" w:rsidRPr="00E57C04" w:rsidRDefault="00957EF8" w:rsidP="0079253B">
          <w:pPr>
            <w:pStyle w:val="Header"/>
            <w:pBdr>
              <w:bottom w:val="none" w:sz="0" w:space="0" w:color="auto"/>
            </w:pBdr>
            <w:rPr>
              <w:rFonts w:eastAsia="DengXian"/>
              <w:b/>
              <w:bCs/>
            </w:rPr>
          </w:pPr>
        </w:p>
      </w:tc>
      <w:tc>
        <w:tcPr>
          <w:tcW w:w="2273" w:type="dxa"/>
          <w:shd w:val="clear" w:color="auto" w:fill="auto"/>
          <w:vAlign w:val="center"/>
        </w:tcPr>
        <w:p w14:paraId="732DDFDA" w14:textId="77777777" w:rsidR="00957EF8" w:rsidRPr="00E57C04" w:rsidRDefault="00DD7900" w:rsidP="00DD7900">
          <w:pPr>
            <w:pStyle w:val="Header"/>
            <w:pBdr>
              <w:bottom w:val="none" w:sz="0" w:space="0" w:color="auto"/>
            </w:pBdr>
            <w:jc w:val="right"/>
            <w:rPr>
              <w:rFonts w:eastAsia="DengXian"/>
              <w:b/>
              <w:bCs/>
            </w:rPr>
          </w:pPr>
          <w:r>
            <w:rPr>
              <w:rFonts w:eastAsia="DengXian"/>
              <w:b/>
              <w:bCs/>
              <w:noProof/>
            </w:rPr>
            <w:drawing>
              <wp:inline distT="0" distB="0" distL="0" distR="0" wp14:anchorId="58A09CF5" wp14:editId="24B24C35">
                <wp:extent cx="540000" cy="360000"/>
                <wp:effectExtent l="0" t="0" r="0" b="2540"/>
                <wp:docPr id="1448896175" name="Picture 1"/>
                <wp:cNvGraphicFramePr/>
                <a:graphic xmlns:a="http://schemas.openxmlformats.org/drawingml/2006/main">
                  <a:graphicData uri="http://schemas.openxmlformats.org/drawingml/2006/picture">
                    <pic:pic xmlns:pic="http://schemas.openxmlformats.org/drawingml/2006/picture">
                      <pic:nvPicPr>
                        <pic:cNvPr id="1619041794" name=""/>
                        <pic:cNvPicPr/>
                      </pic:nvPicPr>
                      <pic:blipFill>
                        <a:blip r:embed="rId2"/>
                        <a:stretch>
                          <a:fillRect/>
                        </a:stretch>
                      </pic:blipFill>
                      <pic:spPr>
                        <a:xfrm>
                          <a:off x="0" y="0"/>
                          <a:ext cx="540000" cy="360000"/>
                        </a:xfrm>
                        <a:prstGeom prst="rect">
                          <a:avLst/>
                        </a:prstGeom>
                      </pic:spPr>
                    </pic:pic>
                  </a:graphicData>
                </a:graphic>
              </wp:inline>
            </w:drawing>
          </w:r>
        </w:p>
      </w:tc>
    </w:tr>
  </w:tbl>
  <w:p w14:paraId="6B97A098" w14:textId="77777777" w:rsidR="00151E16" w:rsidRPr="00957EF8" w:rsidRDefault="00151E16" w:rsidP="008E1E9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F42"/>
    <w:multiLevelType w:val="hybridMultilevel"/>
    <w:tmpl w:val="D40EBAD8"/>
    <w:lvl w:ilvl="0" w:tplc="689EDB26">
      <w:start w:val="1"/>
      <w:numFmt w:val="bullet"/>
      <w:lvlText w:val="•"/>
      <w:lvlJc w:val="left"/>
      <w:pPr>
        <w:tabs>
          <w:tab w:val="num" w:pos="720"/>
        </w:tabs>
        <w:ind w:left="720" w:hanging="360"/>
      </w:pPr>
      <w:rPr>
        <w:rFonts w:ascii="Arial" w:hAnsi="Arial" w:hint="default"/>
      </w:rPr>
    </w:lvl>
    <w:lvl w:ilvl="1" w:tplc="F1C25C1E" w:tentative="1">
      <w:start w:val="1"/>
      <w:numFmt w:val="bullet"/>
      <w:lvlText w:val="•"/>
      <w:lvlJc w:val="left"/>
      <w:pPr>
        <w:tabs>
          <w:tab w:val="num" w:pos="1440"/>
        </w:tabs>
        <w:ind w:left="1440" w:hanging="360"/>
      </w:pPr>
      <w:rPr>
        <w:rFonts w:ascii="Arial" w:hAnsi="Arial" w:hint="default"/>
      </w:rPr>
    </w:lvl>
    <w:lvl w:ilvl="2" w:tplc="558C3D5C" w:tentative="1">
      <w:start w:val="1"/>
      <w:numFmt w:val="bullet"/>
      <w:lvlText w:val="•"/>
      <w:lvlJc w:val="left"/>
      <w:pPr>
        <w:tabs>
          <w:tab w:val="num" w:pos="2160"/>
        </w:tabs>
        <w:ind w:left="2160" w:hanging="360"/>
      </w:pPr>
      <w:rPr>
        <w:rFonts w:ascii="Arial" w:hAnsi="Arial" w:hint="default"/>
      </w:rPr>
    </w:lvl>
    <w:lvl w:ilvl="3" w:tplc="55F072F4" w:tentative="1">
      <w:start w:val="1"/>
      <w:numFmt w:val="bullet"/>
      <w:lvlText w:val="•"/>
      <w:lvlJc w:val="left"/>
      <w:pPr>
        <w:tabs>
          <w:tab w:val="num" w:pos="2880"/>
        </w:tabs>
        <w:ind w:left="2880" w:hanging="360"/>
      </w:pPr>
      <w:rPr>
        <w:rFonts w:ascii="Arial" w:hAnsi="Arial" w:hint="default"/>
      </w:rPr>
    </w:lvl>
    <w:lvl w:ilvl="4" w:tplc="74D46C54" w:tentative="1">
      <w:start w:val="1"/>
      <w:numFmt w:val="bullet"/>
      <w:lvlText w:val="•"/>
      <w:lvlJc w:val="left"/>
      <w:pPr>
        <w:tabs>
          <w:tab w:val="num" w:pos="3600"/>
        </w:tabs>
        <w:ind w:left="3600" w:hanging="360"/>
      </w:pPr>
      <w:rPr>
        <w:rFonts w:ascii="Arial" w:hAnsi="Arial" w:hint="default"/>
      </w:rPr>
    </w:lvl>
    <w:lvl w:ilvl="5" w:tplc="6E6696A4" w:tentative="1">
      <w:start w:val="1"/>
      <w:numFmt w:val="bullet"/>
      <w:lvlText w:val="•"/>
      <w:lvlJc w:val="left"/>
      <w:pPr>
        <w:tabs>
          <w:tab w:val="num" w:pos="4320"/>
        </w:tabs>
        <w:ind w:left="4320" w:hanging="360"/>
      </w:pPr>
      <w:rPr>
        <w:rFonts w:ascii="Arial" w:hAnsi="Arial" w:hint="default"/>
      </w:rPr>
    </w:lvl>
    <w:lvl w:ilvl="6" w:tplc="885007F0" w:tentative="1">
      <w:start w:val="1"/>
      <w:numFmt w:val="bullet"/>
      <w:lvlText w:val="•"/>
      <w:lvlJc w:val="left"/>
      <w:pPr>
        <w:tabs>
          <w:tab w:val="num" w:pos="5040"/>
        </w:tabs>
        <w:ind w:left="5040" w:hanging="360"/>
      </w:pPr>
      <w:rPr>
        <w:rFonts w:ascii="Arial" w:hAnsi="Arial" w:hint="default"/>
      </w:rPr>
    </w:lvl>
    <w:lvl w:ilvl="7" w:tplc="0584F2F0" w:tentative="1">
      <w:start w:val="1"/>
      <w:numFmt w:val="bullet"/>
      <w:lvlText w:val="•"/>
      <w:lvlJc w:val="left"/>
      <w:pPr>
        <w:tabs>
          <w:tab w:val="num" w:pos="5760"/>
        </w:tabs>
        <w:ind w:left="5760" w:hanging="360"/>
      </w:pPr>
      <w:rPr>
        <w:rFonts w:ascii="Arial" w:hAnsi="Arial" w:hint="default"/>
      </w:rPr>
    </w:lvl>
    <w:lvl w:ilvl="8" w:tplc="6B0E5C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B7887"/>
    <w:multiLevelType w:val="hybridMultilevel"/>
    <w:tmpl w:val="ABEE7E5A"/>
    <w:lvl w:ilvl="0" w:tplc="D9CE37B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0A615433"/>
    <w:multiLevelType w:val="hybridMultilevel"/>
    <w:tmpl w:val="CFBA88CE"/>
    <w:lvl w:ilvl="0" w:tplc="AEC44B86">
      <w:start w:val="1"/>
      <w:numFmt w:val="bullet"/>
      <w:lvlText w:val="•"/>
      <w:lvlJc w:val="left"/>
      <w:pPr>
        <w:tabs>
          <w:tab w:val="num" w:pos="720"/>
        </w:tabs>
        <w:ind w:left="720" w:hanging="360"/>
      </w:pPr>
      <w:rPr>
        <w:rFonts w:ascii="Arial" w:hAnsi="Arial" w:hint="default"/>
      </w:rPr>
    </w:lvl>
    <w:lvl w:ilvl="1" w:tplc="A31E6940" w:tentative="1">
      <w:start w:val="1"/>
      <w:numFmt w:val="bullet"/>
      <w:lvlText w:val="•"/>
      <w:lvlJc w:val="left"/>
      <w:pPr>
        <w:tabs>
          <w:tab w:val="num" w:pos="1440"/>
        </w:tabs>
        <w:ind w:left="1440" w:hanging="360"/>
      </w:pPr>
      <w:rPr>
        <w:rFonts w:ascii="Arial" w:hAnsi="Arial" w:hint="default"/>
      </w:rPr>
    </w:lvl>
    <w:lvl w:ilvl="2" w:tplc="49FE0D4E" w:tentative="1">
      <w:start w:val="1"/>
      <w:numFmt w:val="bullet"/>
      <w:lvlText w:val="•"/>
      <w:lvlJc w:val="left"/>
      <w:pPr>
        <w:tabs>
          <w:tab w:val="num" w:pos="2160"/>
        </w:tabs>
        <w:ind w:left="2160" w:hanging="360"/>
      </w:pPr>
      <w:rPr>
        <w:rFonts w:ascii="Arial" w:hAnsi="Arial" w:hint="default"/>
      </w:rPr>
    </w:lvl>
    <w:lvl w:ilvl="3" w:tplc="BF36182C" w:tentative="1">
      <w:start w:val="1"/>
      <w:numFmt w:val="bullet"/>
      <w:lvlText w:val="•"/>
      <w:lvlJc w:val="left"/>
      <w:pPr>
        <w:tabs>
          <w:tab w:val="num" w:pos="2880"/>
        </w:tabs>
        <w:ind w:left="2880" w:hanging="360"/>
      </w:pPr>
      <w:rPr>
        <w:rFonts w:ascii="Arial" w:hAnsi="Arial" w:hint="default"/>
      </w:rPr>
    </w:lvl>
    <w:lvl w:ilvl="4" w:tplc="CC184D3E" w:tentative="1">
      <w:start w:val="1"/>
      <w:numFmt w:val="bullet"/>
      <w:lvlText w:val="•"/>
      <w:lvlJc w:val="left"/>
      <w:pPr>
        <w:tabs>
          <w:tab w:val="num" w:pos="3600"/>
        </w:tabs>
        <w:ind w:left="3600" w:hanging="360"/>
      </w:pPr>
      <w:rPr>
        <w:rFonts w:ascii="Arial" w:hAnsi="Arial" w:hint="default"/>
      </w:rPr>
    </w:lvl>
    <w:lvl w:ilvl="5" w:tplc="B38692B4" w:tentative="1">
      <w:start w:val="1"/>
      <w:numFmt w:val="bullet"/>
      <w:lvlText w:val="•"/>
      <w:lvlJc w:val="left"/>
      <w:pPr>
        <w:tabs>
          <w:tab w:val="num" w:pos="4320"/>
        </w:tabs>
        <w:ind w:left="4320" w:hanging="360"/>
      </w:pPr>
      <w:rPr>
        <w:rFonts w:ascii="Arial" w:hAnsi="Arial" w:hint="default"/>
      </w:rPr>
    </w:lvl>
    <w:lvl w:ilvl="6" w:tplc="B07AD164" w:tentative="1">
      <w:start w:val="1"/>
      <w:numFmt w:val="bullet"/>
      <w:lvlText w:val="•"/>
      <w:lvlJc w:val="left"/>
      <w:pPr>
        <w:tabs>
          <w:tab w:val="num" w:pos="5040"/>
        </w:tabs>
        <w:ind w:left="5040" w:hanging="360"/>
      </w:pPr>
      <w:rPr>
        <w:rFonts w:ascii="Arial" w:hAnsi="Arial" w:hint="default"/>
      </w:rPr>
    </w:lvl>
    <w:lvl w:ilvl="7" w:tplc="6A70D860" w:tentative="1">
      <w:start w:val="1"/>
      <w:numFmt w:val="bullet"/>
      <w:lvlText w:val="•"/>
      <w:lvlJc w:val="left"/>
      <w:pPr>
        <w:tabs>
          <w:tab w:val="num" w:pos="5760"/>
        </w:tabs>
        <w:ind w:left="5760" w:hanging="360"/>
      </w:pPr>
      <w:rPr>
        <w:rFonts w:ascii="Arial" w:hAnsi="Arial" w:hint="default"/>
      </w:rPr>
    </w:lvl>
    <w:lvl w:ilvl="8" w:tplc="8C9A52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95771"/>
    <w:multiLevelType w:val="hybridMultilevel"/>
    <w:tmpl w:val="86224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7768F"/>
    <w:multiLevelType w:val="hybridMultilevel"/>
    <w:tmpl w:val="5F8CFF02"/>
    <w:lvl w:ilvl="0" w:tplc="7CAE8EB2">
      <w:start w:val="1"/>
      <w:numFmt w:val="bullet"/>
      <w:lvlText w:val="•"/>
      <w:lvlJc w:val="left"/>
      <w:pPr>
        <w:tabs>
          <w:tab w:val="num" w:pos="720"/>
        </w:tabs>
        <w:ind w:left="720" w:hanging="360"/>
      </w:pPr>
      <w:rPr>
        <w:rFonts w:ascii="Arial" w:hAnsi="Arial" w:hint="default"/>
      </w:rPr>
    </w:lvl>
    <w:lvl w:ilvl="1" w:tplc="C9E6F404" w:tentative="1">
      <w:start w:val="1"/>
      <w:numFmt w:val="bullet"/>
      <w:lvlText w:val="•"/>
      <w:lvlJc w:val="left"/>
      <w:pPr>
        <w:tabs>
          <w:tab w:val="num" w:pos="1440"/>
        </w:tabs>
        <w:ind w:left="1440" w:hanging="360"/>
      </w:pPr>
      <w:rPr>
        <w:rFonts w:ascii="Arial" w:hAnsi="Arial" w:hint="default"/>
      </w:rPr>
    </w:lvl>
    <w:lvl w:ilvl="2" w:tplc="FE1C004C" w:tentative="1">
      <w:start w:val="1"/>
      <w:numFmt w:val="bullet"/>
      <w:lvlText w:val="•"/>
      <w:lvlJc w:val="left"/>
      <w:pPr>
        <w:tabs>
          <w:tab w:val="num" w:pos="2160"/>
        </w:tabs>
        <w:ind w:left="2160" w:hanging="360"/>
      </w:pPr>
      <w:rPr>
        <w:rFonts w:ascii="Arial" w:hAnsi="Arial" w:hint="default"/>
      </w:rPr>
    </w:lvl>
    <w:lvl w:ilvl="3" w:tplc="A296E5C6" w:tentative="1">
      <w:start w:val="1"/>
      <w:numFmt w:val="bullet"/>
      <w:lvlText w:val="•"/>
      <w:lvlJc w:val="left"/>
      <w:pPr>
        <w:tabs>
          <w:tab w:val="num" w:pos="2880"/>
        </w:tabs>
        <w:ind w:left="2880" w:hanging="360"/>
      </w:pPr>
      <w:rPr>
        <w:rFonts w:ascii="Arial" w:hAnsi="Arial" w:hint="default"/>
      </w:rPr>
    </w:lvl>
    <w:lvl w:ilvl="4" w:tplc="7922AF4C" w:tentative="1">
      <w:start w:val="1"/>
      <w:numFmt w:val="bullet"/>
      <w:lvlText w:val="•"/>
      <w:lvlJc w:val="left"/>
      <w:pPr>
        <w:tabs>
          <w:tab w:val="num" w:pos="3600"/>
        </w:tabs>
        <w:ind w:left="3600" w:hanging="360"/>
      </w:pPr>
      <w:rPr>
        <w:rFonts w:ascii="Arial" w:hAnsi="Arial" w:hint="default"/>
      </w:rPr>
    </w:lvl>
    <w:lvl w:ilvl="5" w:tplc="98709A86" w:tentative="1">
      <w:start w:val="1"/>
      <w:numFmt w:val="bullet"/>
      <w:lvlText w:val="•"/>
      <w:lvlJc w:val="left"/>
      <w:pPr>
        <w:tabs>
          <w:tab w:val="num" w:pos="4320"/>
        </w:tabs>
        <w:ind w:left="4320" w:hanging="360"/>
      </w:pPr>
      <w:rPr>
        <w:rFonts w:ascii="Arial" w:hAnsi="Arial" w:hint="default"/>
      </w:rPr>
    </w:lvl>
    <w:lvl w:ilvl="6" w:tplc="8918FA9A" w:tentative="1">
      <w:start w:val="1"/>
      <w:numFmt w:val="bullet"/>
      <w:lvlText w:val="•"/>
      <w:lvlJc w:val="left"/>
      <w:pPr>
        <w:tabs>
          <w:tab w:val="num" w:pos="5040"/>
        </w:tabs>
        <w:ind w:left="5040" w:hanging="360"/>
      </w:pPr>
      <w:rPr>
        <w:rFonts w:ascii="Arial" w:hAnsi="Arial" w:hint="default"/>
      </w:rPr>
    </w:lvl>
    <w:lvl w:ilvl="7" w:tplc="AE103C12" w:tentative="1">
      <w:start w:val="1"/>
      <w:numFmt w:val="bullet"/>
      <w:lvlText w:val="•"/>
      <w:lvlJc w:val="left"/>
      <w:pPr>
        <w:tabs>
          <w:tab w:val="num" w:pos="5760"/>
        </w:tabs>
        <w:ind w:left="5760" w:hanging="360"/>
      </w:pPr>
      <w:rPr>
        <w:rFonts w:ascii="Arial" w:hAnsi="Arial" w:hint="default"/>
      </w:rPr>
    </w:lvl>
    <w:lvl w:ilvl="8" w:tplc="C79C4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C45169"/>
    <w:multiLevelType w:val="hybridMultilevel"/>
    <w:tmpl w:val="E062AABA"/>
    <w:lvl w:ilvl="0" w:tplc="341C9DD0">
      <w:start w:val="1"/>
      <w:numFmt w:val="bullet"/>
      <w:lvlText w:val="•"/>
      <w:lvlJc w:val="left"/>
      <w:pPr>
        <w:tabs>
          <w:tab w:val="num" w:pos="720"/>
        </w:tabs>
        <w:ind w:left="720" w:hanging="360"/>
      </w:pPr>
      <w:rPr>
        <w:rFonts w:ascii="Arial" w:hAnsi="Arial" w:hint="default"/>
      </w:rPr>
    </w:lvl>
    <w:lvl w:ilvl="1" w:tplc="CE8A1C46" w:tentative="1">
      <w:start w:val="1"/>
      <w:numFmt w:val="bullet"/>
      <w:lvlText w:val="•"/>
      <w:lvlJc w:val="left"/>
      <w:pPr>
        <w:tabs>
          <w:tab w:val="num" w:pos="1440"/>
        </w:tabs>
        <w:ind w:left="1440" w:hanging="360"/>
      </w:pPr>
      <w:rPr>
        <w:rFonts w:ascii="Arial" w:hAnsi="Arial" w:hint="default"/>
      </w:rPr>
    </w:lvl>
    <w:lvl w:ilvl="2" w:tplc="08723786" w:tentative="1">
      <w:start w:val="1"/>
      <w:numFmt w:val="bullet"/>
      <w:lvlText w:val="•"/>
      <w:lvlJc w:val="left"/>
      <w:pPr>
        <w:tabs>
          <w:tab w:val="num" w:pos="2160"/>
        </w:tabs>
        <w:ind w:left="2160" w:hanging="360"/>
      </w:pPr>
      <w:rPr>
        <w:rFonts w:ascii="Arial" w:hAnsi="Arial" w:hint="default"/>
      </w:rPr>
    </w:lvl>
    <w:lvl w:ilvl="3" w:tplc="6B005F20" w:tentative="1">
      <w:start w:val="1"/>
      <w:numFmt w:val="bullet"/>
      <w:lvlText w:val="•"/>
      <w:lvlJc w:val="left"/>
      <w:pPr>
        <w:tabs>
          <w:tab w:val="num" w:pos="2880"/>
        </w:tabs>
        <w:ind w:left="2880" w:hanging="360"/>
      </w:pPr>
      <w:rPr>
        <w:rFonts w:ascii="Arial" w:hAnsi="Arial" w:hint="default"/>
      </w:rPr>
    </w:lvl>
    <w:lvl w:ilvl="4" w:tplc="D5BADF00" w:tentative="1">
      <w:start w:val="1"/>
      <w:numFmt w:val="bullet"/>
      <w:lvlText w:val="•"/>
      <w:lvlJc w:val="left"/>
      <w:pPr>
        <w:tabs>
          <w:tab w:val="num" w:pos="3600"/>
        </w:tabs>
        <w:ind w:left="3600" w:hanging="360"/>
      </w:pPr>
      <w:rPr>
        <w:rFonts w:ascii="Arial" w:hAnsi="Arial" w:hint="default"/>
      </w:rPr>
    </w:lvl>
    <w:lvl w:ilvl="5" w:tplc="B7689032" w:tentative="1">
      <w:start w:val="1"/>
      <w:numFmt w:val="bullet"/>
      <w:lvlText w:val="•"/>
      <w:lvlJc w:val="left"/>
      <w:pPr>
        <w:tabs>
          <w:tab w:val="num" w:pos="4320"/>
        </w:tabs>
        <w:ind w:left="4320" w:hanging="360"/>
      </w:pPr>
      <w:rPr>
        <w:rFonts w:ascii="Arial" w:hAnsi="Arial" w:hint="default"/>
      </w:rPr>
    </w:lvl>
    <w:lvl w:ilvl="6" w:tplc="417481AC" w:tentative="1">
      <w:start w:val="1"/>
      <w:numFmt w:val="bullet"/>
      <w:lvlText w:val="•"/>
      <w:lvlJc w:val="left"/>
      <w:pPr>
        <w:tabs>
          <w:tab w:val="num" w:pos="5040"/>
        </w:tabs>
        <w:ind w:left="5040" w:hanging="360"/>
      </w:pPr>
      <w:rPr>
        <w:rFonts w:ascii="Arial" w:hAnsi="Arial" w:hint="default"/>
      </w:rPr>
    </w:lvl>
    <w:lvl w:ilvl="7" w:tplc="2814F1E8" w:tentative="1">
      <w:start w:val="1"/>
      <w:numFmt w:val="bullet"/>
      <w:lvlText w:val="•"/>
      <w:lvlJc w:val="left"/>
      <w:pPr>
        <w:tabs>
          <w:tab w:val="num" w:pos="5760"/>
        </w:tabs>
        <w:ind w:left="5760" w:hanging="360"/>
      </w:pPr>
      <w:rPr>
        <w:rFonts w:ascii="Arial" w:hAnsi="Arial" w:hint="default"/>
      </w:rPr>
    </w:lvl>
    <w:lvl w:ilvl="8" w:tplc="E5D0EC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B468F5"/>
    <w:multiLevelType w:val="hybridMultilevel"/>
    <w:tmpl w:val="7E0CFCE0"/>
    <w:lvl w:ilvl="0" w:tplc="DEAE582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2214"/>
    <w:multiLevelType w:val="hybridMultilevel"/>
    <w:tmpl w:val="3F283C58"/>
    <w:lvl w:ilvl="0" w:tplc="4650D748">
      <w:start w:val="1"/>
      <w:numFmt w:val="bullet"/>
      <w:lvlText w:val="•"/>
      <w:lvlJc w:val="left"/>
      <w:pPr>
        <w:tabs>
          <w:tab w:val="num" w:pos="720"/>
        </w:tabs>
        <w:ind w:left="720" w:hanging="360"/>
      </w:pPr>
      <w:rPr>
        <w:rFonts w:ascii="Arial" w:hAnsi="Arial" w:hint="default"/>
      </w:rPr>
    </w:lvl>
    <w:lvl w:ilvl="1" w:tplc="6568B484" w:tentative="1">
      <w:start w:val="1"/>
      <w:numFmt w:val="bullet"/>
      <w:lvlText w:val="•"/>
      <w:lvlJc w:val="left"/>
      <w:pPr>
        <w:tabs>
          <w:tab w:val="num" w:pos="1440"/>
        </w:tabs>
        <w:ind w:left="1440" w:hanging="360"/>
      </w:pPr>
      <w:rPr>
        <w:rFonts w:ascii="Arial" w:hAnsi="Arial" w:hint="default"/>
      </w:rPr>
    </w:lvl>
    <w:lvl w:ilvl="2" w:tplc="C6EA8438" w:tentative="1">
      <w:start w:val="1"/>
      <w:numFmt w:val="bullet"/>
      <w:lvlText w:val="•"/>
      <w:lvlJc w:val="left"/>
      <w:pPr>
        <w:tabs>
          <w:tab w:val="num" w:pos="2160"/>
        </w:tabs>
        <w:ind w:left="2160" w:hanging="360"/>
      </w:pPr>
      <w:rPr>
        <w:rFonts w:ascii="Arial" w:hAnsi="Arial" w:hint="default"/>
      </w:rPr>
    </w:lvl>
    <w:lvl w:ilvl="3" w:tplc="F6ACAE2C" w:tentative="1">
      <w:start w:val="1"/>
      <w:numFmt w:val="bullet"/>
      <w:lvlText w:val="•"/>
      <w:lvlJc w:val="left"/>
      <w:pPr>
        <w:tabs>
          <w:tab w:val="num" w:pos="2880"/>
        </w:tabs>
        <w:ind w:left="2880" w:hanging="360"/>
      </w:pPr>
      <w:rPr>
        <w:rFonts w:ascii="Arial" w:hAnsi="Arial" w:hint="default"/>
      </w:rPr>
    </w:lvl>
    <w:lvl w:ilvl="4" w:tplc="58C63C8A" w:tentative="1">
      <w:start w:val="1"/>
      <w:numFmt w:val="bullet"/>
      <w:lvlText w:val="•"/>
      <w:lvlJc w:val="left"/>
      <w:pPr>
        <w:tabs>
          <w:tab w:val="num" w:pos="3600"/>
        </w:tabs>
        <w:ind w:left="3600" w:hanging="360"/>
      </w:pPr>
      <w:rPr>
        <w:rFonts w:ascii="Arial" w:hAnsi="Arial" w:hint="default"/>
      </w:rPr>
    </w:lvl>
    <w:lvl w:ilvl="5" w:tplc="05340BA4" w:tentative="1">
      <w:start w:val="1"/>
      <w:numFmt w:val="bullet"/>
      <w:lvlText w:val="•"/>
      <w:lvlJc w:val="left"/>
      <w:pPr>
        <w:tabs>
          <w:tab w:val="num" w:pos="4320"/>
        </w:tabs>
        <w:ind w:left="4320" w:hanging="360"/>
      </w:pPr>
      <w:rPr>
        <w:rFonts w:ascii="Arial" w:hAnsi="Arial" w:hint="default"/>
      </w:rPr>
    </w:lvl>
    <w:lvl w:ilvl="6" w:tplc="F9D86A6A" w:tentative="1">
      <w:start w:val="1"/>
      <w:numFmt w:val="bullet"/>
      <w:lvlText w:val="•"/>
      <w:lvlJc w:val="left"/>
      <w:pPr>
        <w:tabs>
          <w:tab w:val="num" w:pos="5040"/>
        </w:tabs>
        <w:ind w:left="5040" w:hanging="360"/>
      </w:pPr>
      <w:rPr>
        <w:rFonts w:ascii="Arial" w:hAnsi="Arial" w:hint="default"/>
      </w:rPr>
    </w:lvl>
    <w:lvl w:ilvl="7" w:tplc="DAB4DE10" w:tentative="1">
      <w:start w:val="1"/>
      <w:numFmt w:val="bullet"/>
      <w:lvlText w:val="•"/>
      <w:lvlJc w:val="left"/>
      <w:pPr>
        <w:tabs>
          <w:tab w:val="num" w:pos="5760"/>
        </w:tabs>
        <w:ind w:left="5760" w:hanging="360"/>
      </w:pPr>
      <w:rPr>
        <w:rFonts w:ascii="Arial" w:hAnsi="Arial" w:hint="default"/>
      </w:rPr>
    </w:lvl>
    <w:lvl w:ilvl="8" w:tplc="8E3E52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20CF4DBF"/>
    <w:multiLevelType w:val="hybridMultilevel"/>
    <w:tmpl w:val="D55CEBA6"/>
    <w:lvl w:ilvl="0" w:tplc="C870F13A">
      <w:start w:val="1"/>
      <w:numFmt w:val="bullet"/>
      <w:lvlText w:val="•"/>
      <w:lvlJc w:val="left"/>
      <w:pPr>
        <w:tabs>
          <w:tab w:val="num" w:pos="720"/>
        </w:tabs>
        <w:ind w:left="720" w:hanging="360"/>
      </w:pPr>
      <w:rPr>
        <w:rFonts w:ascii="Arial" w:hAnsi="Arial" w:hint="default"/>
      </w:rPr>
    </w:lvl>
    <w:lvl w:ilvl="1" w:tplc="E2429BDE" w:tentative="1">
      <w:start w:val="1"/>
      <w:numFmt w:val="bullet"/>
      <w:lvlText w:val="•"/>
      <w:lvlJc w:val="left"/>
      <w:pPr>
        <w:tabs>
          <w:tab w:val="num" w:pos="1440"/>
        </w:tabs>
        <w:ind w:left="1440" w:hanging="360"/>
      </w:pPr>
      <w:rPr>
        <w:rFonts w:ascii="Arial" w:hAnsi="Arial" w:hint="default"/>
      </w:rPr>
    </w:lvl>
    <w:lvl w:ilvl="2" w:tplc="356E0D62" w:tentative="1">
      <w:start w:val="1"/>
      <w:numFmt w:val="bullet"/>
      <w:lvlText w:val="•"/>
      <w:lvlJc w:val="left"/>
      <w:pPr>
        <w:tabs>
          <w:tab w:val="num" w:pos="2160"/>
        </w:tabs>
        <w:ind w:left="2160" w:hanging="360"/>
      </w:pPr>
      <w:rPr>
        <w:rFonts w:ascii="Arial" w:hAnsi="Arial" w:hint="default"/>
      </w:rPr>
    </w:lvl>
    <w:lvl w:ilvl="3" w:tplc="A8766AC8" w:tentative="1">
      <w:start w:val="1"/>
      <w:numFmt w:val="bullet"/>
      <w:lvlText w:val="•"/>
      <w:lvlJc w:val="left"/>
      <w:pPr>
        <w:tabs>
          <w:tab w:val="num" w:pos="2880"/>
        </w:tabs>
        <w:ind w:left="2880" w:hanging="360"/>
      </w:pPr>
      <w:rPr>
        <w:rFonts w:ascii="Arial" w:hAnsi="Arial" w:hint="default"/>
      </w:rPr>
    </w:lvl>
    <w:lvl w:ilvl="4" w:tplc="11C2B8DE" w:tentative="1">
      <w:start w:val="1"/>
      <w:numFmt w:val="bullet"/>
      <w:lvlText w:val="•"/>
      <w:lvlJc w:val="left"/>
      <w:pPr>
        <w:tabs>
          <w:tab w:val="num" w:pos="3600"/>
        </w:tabs>
        <w:ind w:left="3600" w:hanging="360"/>
      </w:pPr>
      <w:rPr>
        <w:rFonts w:ascii="Arial" w:hAnsi="Arial" w:hint="default"/>
      </w:rPr>
    </w:lvl>
    <w:lvl w:ilvl="5" w:tplc="AA4CBD30" w:tentative="1">
      <w:start w:val="1"/>
      <w:numFmt w:val="bullet"/>
      <w:lvlText w:val="•"/>
      <w:lvlJc w:val="left"/>
      <w:pPr>
        <w:tabs>
          <w:tab w:val="num" w:pos="4320"/>
        </w:tabs>
        <w:ind w:left="4320" w:hanging="360"/>
      </w:pPr>
      <w:rPr>
        <w:rFonts w:ascii="Arial" w:hAnsi="Arial" w:hint="default"/>
      </w:rPr>
    </w:lvl>
    <w:lvl w:ilvl="6" w:tplc="90627850" w:tentative="1">
      <w:start w:val="1"/>
      <w:numFmt w:val="bullet"/>
      <w:lvlText w:val="•"/>
      <w:lvlJc w:val="left"/>
      <w:pPr>
        <w:tabs>
          <w:tab w:val="num" w:pos="5040"/>
        </w:tabs>
        <w:ind w:left="5040" w:hanging="360"/>
      </w:pPr>
      <w:rPr>
        <w:rFonts w:ascii="Arial" w:hAnsi="Arial" w:hint="default"/>
      </w:rPr>
    </w:lvl>
    <w:lvl w:ilvl="7" w:tplc="38A4435C" w:tentative="1">
      <w:start w:val="1"/>
      <w:numFmt w:val="bullet"/>
      <w:lvlText w:val="•"/>
      <w:lvlJc w:val="left"/>
      <w:pPr>
        <w:tabs>
          <w:tab w:val="num" w:pos="5760"/>
        </w:tabs>
        <w:ind w:left="5760" w:hanging="360"/>
      </w:pPr>
      <w:rPr>
        <w:rFonts w:ascii="Arial" w:hAnsi="Arial" w:hint="default"/>
      </w:rPr>
    </w:lvl>
    <w:lvl w:ilvl="8" w:tplc="8EBC68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93AEF"/>
    <w:multiLevelType w:val="hybridMultilevel"/>
    <w:tmpl w:val="640C8C04"/>
    <w:lvl w:ilvl="0" w:tplc="E4C02668">
      <w:start w:val="1"/>
      <w:numFmt w:val="bullet"/>
      <w:lvlText w:val="•"/>
      <w:lvlJc w:val="left"/>
      <w:pPr>
        <w:tabs>
          <w:tab w:val="num" w:pos="720"/>
        </w:tabs>
        <w:ind w:left="720" w:hanging="360"/>
      </w:pPr>
      <w:rPr>
        <w:rFonts w:ascii="Arial" w:hAnsi="Arial" w:hint="default"/>
      </w:rPr>
    </w:lvl>
    <w:lvl w:ilvl="1" w:tplc="D5A48804" w:tentative="1">
      <w:start w:val="1"/>
      <w:numFmt w:val="bullet"/>
      <w:lvlText w:val="•"/>
      <w:lvlJc w:val="left"/>
      <w:pPr>
        <w:tabs>
          <w:tab w:val="num" w:pos="1440"/>
        </w:tabs>
        <w:ind w:left="1440" w:hanging="360"/>
      </w:pPr>
      <w:rPr>
        <w:rFonts w:ascii="Arial" w:hAnsi="Arial" w:hint="default"/>
      </w:rPr>
    </w:lvl>
    <w:lvl w:ilvl="2" w:tplc="8DDC938A" w:tentative="1">
      <w:start w:val="1"/>
      <w:numFmt w:val="bullet"/>
      <w:lvlText w:val="•"/>
      <w:lvlJc w:val="left"/>
      <w:pPr>
        <w:tabs>
          <w:tab w:val="num" w:pos="2160"/>
        </w:tabs>
        <w:ind w:left="2160" w:hanging="360"/>
      </w:pPr>
      <w:rPr>
        <w:rFonts w:ascii="Arial" w:hAnsi="Arial" w:hint="default"/>
      </w:rPr>
    </w:lvl>
    <w:lvl w:ilvl="3" w:tplc="9B1AC820" w:tentative="1">
      <w:start w:val="1"/>
      <w:numFmt w:val="bullet"/>
      <w:lvlText w:val="•"/>
      <w:lvlJc w:val="left"/>
      <w:pPr>
        <w:tabs>
          <w:tab w:val="num" w:pos="2880"/>
        </w:tabs>
        <w:ind w:left="2880" w:hanging="360"/>
      </w:pPr>
      <w:rPr>
        <w:rFonts w:ascii="Arial" w:hAnsi="Arial" w:hint="default"/>
      </w:rPr>
    </w:lvl>
    <w:lvl w:ilvl="4" w:tplc="EF5ACEA6" w:tentative="1">
      <w:start w:val="1"/>
      <w:numFmt w:val="bullet"/>
      <w:lvlText w:val="•"/>
      <w:lvlJc w:val="left"/>
      <w:pPr>
        <w:tabs>
          <w:tab w:val="num" w:pos="3600"/>
        </w:tabs>
        <w:ind w:left="3600" w:hanging="360"/>
      </w:pPr>
      <w:rPr>
        <w:rFonts w:ascii="Arial" w:hAnsi="Arial" w:hint="default"/>
      </w:rPr>
    </w:lvl>
    <w:lvl w:ilvl="5" w:tplc="31BC6AA8" w:tentative="1">
      <w:start w:val="1"/>
      <w:numFmt w:val="bullet"/>
      <w:lvlText w:val="•"/>
      <w:lvlJc w:val="left"/>
      <w:pPr>
        <w:tabs>
          <w:tab w:val="num" w:pos="4320"/>
        </w:tabs>
        <w:ind w:left="4320" w:hanging="360"/>
      </w:pPr>
      <w:rPr>
        <w:rFonts w:ascii="Arial" w:hAnsi="Arial" w:hint="default"/>
      </w:rPr>
    </w:lvl>
    <w:lvl w:ilvl="6" w:tplc="48A8CA62" w:tentative="1">
      <w:start w:val="1"/>
      <w:numFmt w:val="bullet"/>
      <w:lvlText w:val="•"/>
      <w:lvlJc w:val="left"/>
      <w:pPr>
        <w:tabs>
          <w:tab w:val="num" w:pos="5040"/>
        </w:tabs>
        <w:ind w:left="5040" w:hanging="360"/>
      </w:pPr>
      <w:rPr>
        <w:rFonts w:ascii="Arial" w:hAnsi="Arial" w:hint="default"/>
      </w:rPr>
    </w:lvl>
    <w:lvl w:ilvl="7" w:tplc="9350F0C2" w:tentative="1">
      <w:start w:val="1"/>
      <w:numFmt w:val="bullet"/>
      <w:lvlText w:val="•"/>
      <w:lvlJc w:val="left"/>
      <w:pPr>
        <w:tabs>
          <w:tab w:val="num" w:pos="5760"/>
        </w:tabs>
        <w:ind w:left="5760" w:hanging="360"/>
      </w:pPr>
      <w:rPr>
        <w:rFonts w:ascii="Arial" w:hAnsi="Arial" w:hint="default"/>
      </w:rPr>
    </w:lvl>
    <w:lvl w:ilvl="8" w:tplc="EA463B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3114CF"/>
    <w:multiLevelType w:val="hybridMultilevel"/>
    <w:tmpl w:val="E5E8B7C0"/>
    <w:lvl w:ilvl="0" w:tplc="DB40D11C">
      <w:start w:val="1"/>
      <w:numFmt w:val="bullet"/>
      <w:lvlText w:val="•"/>
      <w:lvlJc w:val="left"/>
      <w:pPr>
        <w:tabs>
          <w:tab w:val="num" w:pos="720"/>
        </w:tabs>
        <w:ind w:left="720" w:hanging="360"/>
      </w:pPr>
      <w:rPr>
        <w:rFonts w:ascii="Arial" w:hAnsi="Arial" w:hint="default"/>
      </w:rPr>
    </w:lvl>
    <w:lvl w:ilvl="1" w:tplc="B2E6AE84" w:tentative="1">
      <w:start w:val="1"/>
      <w:numFmt w:val="bullet"/>
      <w:lvlText w:val="•"/>
      <w:lvlJc w:val="left"/>
      <w:pPr>
        <w:tabs>
          <w:tab w:val="num" w:pos="1440"/>
        </w:tabs>
        <w:ind w:left="1440" w:hanging="360"/>
      </w:pPr>
      <w:rPr>
        <w:rFonts w:ascii="Arial" w:hAnsi="Arial" w:hint="default"/>
      </w:rPr>
    </w:lvl>
    <w:lvl w:ilvl="2" w:tplc="73CE10B4" w:tentative="1">
      <w:start w:val="1"/>
      <w:numFmt w:val="bullet"/>
      <w:lvlText w:val="•"/>
      <w:lvlJc w:val="left"/>
      <w:pPr>
        <w:tabs>
          <w:tab w:val="num" w:pos="2160"/>
        </w:tabs>
        <w:ind w:left="2160" w:hanging="360"/>
      </w:pPr>
      <w:rPr>
        <w:rFonts w:ascii="Arial" w:hAnsi="Arial" w:hint="default"/>
      </w:rPr>
    </w:lvl>
    <w:lvl w:ilvl="3" w:tplc="29FE8450" w:tentative="1">
      <w:start w:val="1"/>
      <w:numFmt w:val="bullet"/>
      <w:lvlText w:val="•"/>
      <w:lvlJc w:val="left"/>
      <w:pPr>
        <w:tabs>
          <w:tab w:val="num" w:pos="2880"/>
        </w:tabs>
        <w:ind w:left="2880" w:hanging="360"/>
      </w:pPr>
      <w:rPr>
        <w:rFonts w:ascii="Arial" w:hAnsi="Arial" w:hint="default"/>
      </w:rPr>
    </w:lvl>
    <w:lvl w:ilvl="4" w:tplc="83086E84" w:tentative="1">
      <w:start w:val="1"/>
      <w:numFmt w:val="bullet"/>
      <w:lvlText w:val="•"/>
      <w:lvlJc w:val="left"/>
      <w:pPr>
        <w:tabs>
          <w:tab w:val="num" w:pos="3600"/>
        </w:tabs>
        <w:ind w:left="3600" w:hanging="360"/>
      </w:pPr>
      <w:rPr>
        <w:rFonts w:ascii="Arial" w:hAnsi="Arial" w:hint="default"/>
      </w:rPr>
    </w:lvl>
    <w:lvl w:ilvl="5" w:tplc="38F2E3FC" w:tentative="1">
      <w:start w:val="1"/>
      <w:numFmt w:val="bullet"/>
      <w:lvlText w:val="•"/>
      <w:lvlJc w:val="left"/>
      <w:pPr>
        <w:tabs>
          <w:tab w:val="num" w:pos="4320"/>
        </w:tabs>
        <w:ind w:left="4320" w:hanging="360"/>
      </w:pPr>
      <w:rPr>
        <w:rFonts w:ascii="Arial" w:hAnsi="Arial" w:hint="default"/>
      </w:rPr>
    </w:lvl>
    <w:lvl w:ilvl="6" w:tplc="01046254" w:tentative="1">
      <w:start w:val="1"/>
      <w:numFmt w:val="bullet"/>
      <w:lvlText w:val="•"/>
      <w:lvlJc w:val="left"/>
      <w:pPr>
        <w:tabs>
          <w:tab w:val="num" w:pos="5040"/>
        </w:tabs>
        <w:ind w:left="5040" w:hanging="360"/>
      </w:pPr>
      <w:rPr>
        <w:rFonts w:ascii="Arial" w:hAnsi="Arial" w:hint="default"/>
      </w:rPr>
    </w:lvl>
    <w:lvl w:ilvl="7" w:tplc="B240F4D2" w:tentative="1">
      <w:start w:val="1"/>
      <w:numFmt w:val="bullet"/>
      <w:lvlText w:val="•"/>
      <w:lvlJc w:val="left"/>
      <w:pPr>
        <w:tabs>
          <w:tab w:val="num" w:pos="5760"/>
        </w:tabs>
        <w:ind w:left="5760" w:hanging="360"/>
      </w:pPr>
      <w:rPr>
        <w:rFonts w:ascii="Arial" w:hAnsi="Arial" w:hint="default"/>
      </w:rPr>
    </w:lvl>
    <w:lvl w:ilvl="8" w:tplc="E04699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677DF6"/>
    <w:multiLevelType w:val="hybridMultilevel"/>
    <w:tmpl w:val="23F2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3582C"/>
    <w:multiLevelType w:val="hybridMultilevel"/>
    <w:tmpl w:val="36FA7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3BAB4821"/>
    <w:multiLevelType w:val="hybridMultilevel"/>
    <w:tmpl w:val="DCA8B8C8"/>
    <w:lvl w:ilvl="0" w:tplc="7338C44A">
      <w:start w:val="1"/>
      <w:numFmt w:val="bullet"/>
      <w:lvlText w:val="•"/>
      <w:lvlJc w:val="left"/>
      <w:pPr>
        <w:tabs>
          <w:tab w:val="num" w:pos="720"/>
        </w:tabs>
        <w:ind w:left="720" w:hanging="360"/>
      </w:pPr>
      <w:rPr>
        <w:rFonts w:ascii="Arial" w:hAnsi="Arial" w:hint="default"/>
      </w:rPr>
    </w:lvl>
    <w:lvl w:ilvl="1" w:tplc="FF46BE68" w:tentative="1">
      <w:start w:val="1"/>
      <w:numFmt w:val="bullet"/>
      <w:lvlText w:val="•"/>
      <w:lvlJc w:val="left"/>
      <w:pPr>
        <w:tabs>
          <w:tab w:val="num" w:pos="1440"/>
        </w:tabs>
        <w:ind w:left="1440" w:hanging="360"/>
      </w:pPr>
      <w:rPr>
        <w:rFonts w:ascii="Arial" w:hAnsi="Arial" w:hint="default"/>
      </w:rPr>
    </w:lvl>
    <w:lvl w:ilvl="2" w:tplc="49B29E30" w:tentative="1">
      <w:start w:val="1"/>
      <w:numFmt w:val="bullet"/>
      <w:lvlText w:val="•"/>
      <w:lvlJc w:val="left"/>
      <w:pPr>
        <w:tabs>
          <w:tab w:val="num" w:pos="2160"/>
        </w:tabs>
        <w:ind w:left="2160" w:hanging="360"/>
      </w:pPr>
      <w:rPr>
        <w:rFonts w:ascii="Arial" w:hAnsi="Arial" w:hint="default"/>
      </w:rPr>
    </w:lvl>
    <w:lvl w:ilvl="3" w:tplc="1C206266" w:tentative="1">
      <w:start w:val="1"/>
      <w:numFmt w:val="bullet"/>
      <w:lvlText w:val="•"/>
      <w:lvlJc w:val="left"/>
      <w:pPr>
        <w:tabs>
          <w:tab w:val="num" w:pos="2880"/>
        </w:tabs>
        <w:ind w:left="2880" w:hanging="360"/>
      </w:pPr>
      <w:rPr>
        <w:rFonts w:ascii="Arial" w:hAnsi="Arial" w:hint="default"/>
      </w:rPr>
    </w:lvl>
    <w:lvl w:ilvl="4" w:tplc="5D82DD44" w:tentative="1">
      <w:start w:val="1"/>
      <w:numFmt w:val="bullet"/>
      <w:lvlText w:val="•"/>
      <w:lvlJc w:val="left"/>
      <w:pPr>
        <w:tabs>
          <w:tab w:val="num" w:pos="3600"/>
        </w:tabs>
        <w:ind w:left="3600" w:hanging="360"/>
      </w:pPr>
      <w:rPr>
        <w:rFonts w:ascii="Arial" w:hAnsi="Arial" w:hint="default"/>
      </w:rPr>
    </w:lvl>
    <w:lvl w:ilvl="5" w:tplc="2EB40288" w:tentative="1">
      <w:start w:val="1"/>
      <w:numFmt w:val="bullet"/>
      <w:lvlText w:val="•"/>
      <w:lvlJc w:val="left"/>
      <w:pPr>
        <w:tabs>
          <w:tab w:val="num" w:pos="4320"/>
        </w:tabs>
        <w:ind w:left="4320" w:hanging="360"/>
      </w:pPr>
      <w:rPr>
        <w:rFonts w:ascii="Arial" w:hAnsi="Arial" w:hint="default"/>
      </w:rPr>
    </w:lvl>
    <w:lvl w:ilvl="6" w:tplc="6DBC315A" w:tentative="1">
      <w:start w:val="1"/>
      <w:numFmt w:val="bullet"/>
      <w:lvlText w:val="•"/>
      <w:lvlJc w:val="left"/>
      <w:pPr>
        <w:tabs>
          <w:tab w:val="num" w:pos="5040"/>
        </w:tabs>
        <w:ind w:left="5040" w:hanging="360"/>
      </w:pPr>
      <w:rPr>
        <w:rFonts w:ascii="Arial" w:hAnsi="Arial" w:hint="default"/>
      </w:rPr>
    </w:lvl>
    <w:lvl w:ilvl="7" w:tplc="9334DADC" w:tentative="1">
      <w:start w:val="1"/>
      <w:numFmt w:val="bullet"/>
      <w:lvlText w:val="•"/>
      <w:lvlJc w:val="left"/>
      <w:pPr>
        <w:tabs>
          <w:tab w:val="num" w:pos="5760"/>
        </w:tabs>
        <w:ind w:left="5760" w:hanging="360"/>
      </w:pPr>
      <w:rPr>
        <w:rFonts w:ascii="Arial" w:hAnsi="Arial" w:hint="default"/>
      </w:rPr>
    </w:lvl>
    <w:lvl w:ilvl="8" w:tplc="B8BCA8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5B107A"/>
    <w:multiLevelType w:val="hybridMultilevel"/>
    <w:tmpl w:val="754AFD8E"/>
    <w:lvl w:ilvl="0" w:tplc="D8F031D8">
      <w:start w:val="1"/>
      <w:numFmt w:val="decimal"/>
      <w:lvlText w:val="%1."/>
      <w:lvlJc w:val="left"/>
      <w:pPr>
        <w:ind w:left="1020" w:hanging="360"/>
      </w:pPr>
    </w:lvl>
    <w:lvl w:ilvl="1" w:tplc="ADF413D2">
      <w:start w:val="1"/>
      <w:numFmt w:val="decimal"/>
      <w:lvlText w:val="%2."/>
      <w:lvlJc w:val="left"/>
      <w:pPr>
        <w:ind w:left="1020" w:hanging="360"/>
      </w:pPr>
    </w:lvl>
    <w:lvl w:ilvl="2" w:tplc="B78E4F70">
      <w:start w:val="1"/>
      <w:numFmt w:val="decimal"/>
      <w:lvlText w:val="%3."/>
      <w:lvlJc w:val="left"/>
      <w:pPr>
        <w:ind w:left="1020" w:hanging="360"/>
      </w:pPr>
    </w:lvl>
    <w:lvl w:ilvl="3" w:tplc="08C6D018">
      <w:start w:val="1"/>
      <w:numFmt w:val="decimal"/>
      <w:lvlText w:val="%4."/>
      <w:lvlJc w:val="left"/>
      <w:pPr>
        <w:ind w:left="1020" w:hanging="360"/>
      </w:pPr>
    </w:lvl>
    <w:lvl w:ilvl="4" w:tplc="BE4AD6C2">
      <w:start w:val="1"/>
      <w:numFmt w:val="decimal"/>
      <w:lvlText w:val="%5."/>
      <w:lvlJc w:val="left"/>
      <w:pPr>
        <w:ind w:left="1020" w:hanging="360"/>
      </w:pPr>
    </w:lvl>
    <w:lvl w:ilvl="5" w:tplc="8BBC11B0">
      <w:start w:val="1"/>
      <w:numFmt w:val="decimal"/>
      <w:lvlText w:val="%6."/>
      <w:lvlJc w:val="left"/>
      <w:pPr>
        <w:ind w:left="1020" w:hanging="360"/>
      </w:pPr>
    </w:lvl>
    <w:lvl w:ilvl="6" w:tplc="CF847A52">
      <w:start w:val="1"/>
      <w:numFmt w:val="decimal"/>
      <w:lvlText w:val="%7."/>
      <w:lvlJc w:val="left"/>
      <w:pPr>
        <w:ind w:left="1020" w:hanging="360"/>
      </w:pPr>
    </w:lvl>
    <w:lvl w:ilvl="7" w:tplc="2C0AFAAC">
      <w:start w:val="1"/>
      <w:numFmt w:val="decimal"/>
      <w:lvlText w:val="%8."/>
      <w:lvlJc w:val="left"/>
      <w:pPr>
        <w:ind w:left="1020" w:hanging="360"/>
      </w:pPr>
    </w:lvl>
    <w:lvl w:ilvl="8" w:tplc="21FC1114">
      <w:start w:val="1"/>
      <w:numFmt w:val="decimal"/>
      <w:lvlText w:val="%9."/>
      <w:lvlJc w:val="left"/>
      <w:pPr>
        <w:ind w:left="1020" w:hanging="360"/>
      </w:pPr>
    </w:lvl>
  </w:abstractNum>
  <w:abstractNum w:abstractNumId="20" w15:restartNumberingAfterBreak="0">
    <w:nsid w:val="44FD70C5"/>
    <w:multiLevelType w:val="hybridMultilevel"/>
    <w:tmpl w:val="EF46EB30"/>
    <w:lvl w:ilvl="0" w:tplc="4D46C808">
      <w:start w:val="1"/>
      <w:numFmt w:val="bullet"/>
      <w:lvlText w:val="•"/>
      <w:lvlJc w:val="left"/>
      <w:pPr>
        <w:tabs>
          <w:tab w:val="num" w:pos="720"/>
        </w:tabs>
        <w:ind w:left="720" w:hanging="360"/>
      </w:pPr>
      <w:rPr>
        <w:rFonts w:ascii="Arial" w:hAnsi="Arial" w:hint="default"/>
      </w:rPr>
    </w:lvl>
    <w:lvl w:ilvl="1" w:tplc="827C5634" w:tentative="1">
      <w:start w:val="1"/>
      <w:numFmt w:val="bullet"/>
      <w:lvlText w:val="•"/>
      <w:lvlJc w:val="left"/>
      <w:pPr>
        <w:tabs>
          <w:tab w:val="num" w:pos="1440"/>
        </w:tabs>
        <w:ind w:left="1440" w:hanging="360"/>
      </w:pPr>
      <w:rPr>
        <w:rFonts w:ascii="Arial" w:hAnsi="Arial" w:hint="default"/>
      </w:rPr>
    </w:lvl>
    <w:lvl w:ilvl="2" w:tplc="7EDA0544" w:tentative="1">
      <w:start w:val="1"/>
      <w:numFmt w:val="bullet"/>
      <w:lvlText w:val="•"/>
      <w:lvlJc w:val="left"/>
      <w:pPr>
        <w:tabs>
          <w:tab w:val="num" w:pos="2160"/>
        </w:tabs>
        <w:ind w:left="2160" w:hanging="360"/>
      </w:pPr>
      <w:rPr>
        <w:rFonts w:ascii="Arial" w:hAnsi="Arial" w:hint="default"/>
      </w:rPr>
    </w:lvl>
    <w:lvl w:ilvl="3" w:tplc="3E92F858" w:tentative="1">
      <w:start w:val="1"/>
      <w:numFmt w:val="bullet"/>
      <w:lvlText w:val="•"/>
      <w:lvlJc w:val="left"/>
      <w:pPr>
        <w:tabs>
          <w:tab w:val="num" w:pos="2880"/>
        </w:tabs>
        <w:ind w:left="2880" w:hanging="360"/>
      </w:pPr>
      <w:rPr>
        <w:rFonts w:ascii="Arial" w:hAnsi="Arial" w:hint="default"/>
      </w:rPr>
    </w:lvl>
    <w:lvl w:ilvl="4" w:tplc="EF288566" w:tentative="1">
      <w:start w:val="1"/>
      <w:numFmt w:val="bullet"/>
      <w:lvlText w:val="•"/>
      <w:lvlJc w:val="left"/>
      <w:pPr>
        <w:tabs>
          <w:tab w:val="num" w:pos="3600"/>
        </w:tabs>
        <w:ind w:left="3600" w:hanging="360"/>
      </w:pPr>
      <w:rPr>
        <w:rFonts w:ascii="Arial" w:hAnsi="Arial" w:hint="default"/>
      </w:rPr>
    </w:lvl>
    <w:lvl w:ilvl="5" w:tplc="1D0223BE" w:tentative="1">
      <w:start w:val="1"/>
      <w:numFmt w:val="bullet"/>
      <w:lvlText w:val="•"/>
      <w:lvlJc w:val="left"/>
      <w:pPr>
        <w:tabs>
          <w:tab w:val="num" w:pos="4320"/>
        </w:tabs>
        <w:ind w:left="4320" w:hanging="360"/>
      </w:pPr>
      <w:rPr>
        <w:rFonts w:ascii="Arial" w:hAnsi="Arial" w:hint="default"/>
      </w:rPr>
    </w:lvl>
    <w:lvl w:ilvl="6" w:tplc="8954EBB2" w:tentative="1">
      <w:start w:val="1"/>
      <w:numFmt w:val="bullet"/>
      <w:lvlText w:val="•"/>
      <w:lvlJc w:val="left"/>
      <w:pPr>
        <w:tabs>
          <w:tab w:val="num" w:pos="5040"/>
        </w:tabs>
        <w:ind w:left="5040" w:hanging="360"/>
      </w:pPr>
      <w:rPr>
        <w:rFonts w:ascii="Arial" w:hAnsi="Arial" w:hint="default"/>
      </w:rPr>
    </w:lvl>
    <w:lvl w:ilvl="7" w:tplc="8E9808F6" w:tentative="1">
      <w:start w:val="1"/>
      <w:numFmt w:val="bullet"/>
      <w:lvlText w:val="•"/>
      <w:lvlJc w:val="left"/>
      <w:pPr>
        <w:tabs>
          <w:tab w:val="num" w:pos="5760"/>
        </w:tabs>
        <w:ind w:left="5760" w:hanging="360"/>
      </w:pPr>
      <w:rPr>
        <w:rFonts w:ascii="Arial" w:hAnsi="Arial" w:hint="default"/>
      </w:rPr>
    </w:lvl>
    <w:lvl w:ilvl="8" w:tplc="4A6451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1522BF"/>
    <w:multiLevelType w:val="hybridMultilevel"/>
    <w:tmpl w:val="897C04B0"/>
    <w:lvl w:ilvl="0" w:tplc="538A5ACE">
      <w:start w:val="1"/>
      <w:numFmt w:val="bullet"/>
      <w:lvlText w:val="•"/>
      <w:lvlJc w:val="left"/>
      <w:pPr>
        <w:tabs>
          <w:tab w:val="num" w:pos="720"/>
        </w:tabs>
        <w:ind w:left="720" w:hanging="360"/>
      </w:pPr>
      <w:rPr>
        <w:rFonts w:ascii="Arial" w:hAnsi="Arial" w:hint="default"/>
      </w:rPr>
    </w:lvl>
    <w:lvl w:ilvl="1" w:tplc="1642240C" w:tentative="1">
      <w:start w:val="1"/>
      <w:numFmt w:val="bullet"/>
      <w:lvlText w:val="•"/>
      <w:lvlJc w:val="left"/>
      <w:pPr>
        <w:tabs>
          <w:tab w:val="num" w:pos="1440"/>
        </w:tabs>
        <w:ind w:left="1440" w:hanging="360"/>
      </w:pPr>
      <w:rPr>
        <w:rFonts w:ascii="Arial" w:hAnsi="Arial" w:hint="default"/>
      </w:rPr>
    </w:lvl>
    <w:lvl w:ilvl="2" w:tplc="6804DEC4" w:tentative="1">
      <w:start w:val="1"/>
      <w:numFmt w:val="bullet"/>
      <w:lvlText w:val="•"/>
      <w:lvlJc w:val="left"/>
      <w:pPr>
        <w:tabs>
          <w:tab w:val="num" w:pos="2160"/>
        </w:tabs>
        <w:ind w:left="2160" w:hanging="360"/>
      </w:pPr>
      <w:rPr>
        <w:rFonts w:ascii="Arial" w:hAnsi="Arial" w:hint="default"/>
      </w:rPr>
    </w:lvl>
    <w:lvl w:ilvl="3" w:tplc="C8E6AA72" w:tentative="1">
      <w:start w:val="1"/>
      <w:numFmt w:val="bullet"/>
      <w:lvlText w:val="•"/>
      <w:lvlJc w:val="left"/>
      <w:pPr>
        <w:tabs>
          <w:tab w:val="num" w:pos="2880"/>
        </w:tabs>
        <w:ind w:left="2880" w:hanging="360"/>
      </w:pPr>
      <w:rPr>
        <w:rFonts w:ascii="Arial" w:hAnsi="Arial" w:hint="default"/>
      </w:rPr>
    </w:lvl>
    <w:lvl w:ilvl="4" w:tplc="5B82DD90" w:tentative="1">
      <w:start w:val="1"/>
      <w:numFmt w:val="bullet"/>
      <w:lvlText w:val="•"/>
      <w:lvlJc w:val="left"/>
      <w:pPr>
        <w:tabs>
          <w:tab w:val="num" w:pos="3600"/>
        </w:tabs>
        <w:ind w:left="3600" w:hanging="360"/>
      </w:pPr>
      <w:rPr>
        <w:rFonts w:ascii="Arial" w:hAnsi="Arial" w:hint="default"/>
      </w:rPr>
    </w:lvl>
    <w:lvl w:ilvl="5" w:tplc="9746FF74" w:tentative="1">
      <w:start w:val="1"/>
      <w:numFmt w:val="bullet"/>
      <w:lvlText w:val="•"/>
      <w:lvlJc w:val="left"/>
      <w:pPr>
        <w:tabs>
          <w:tab w:val="num" w:pos="4320"/>
        </w:tabs>
        <w:ind w:left="4320" w:hanging="360"/>
      </w:pPr>
      <w:rPr>
        <w:rFonts w:ascii="Arial" w:hAnsi="Arial" w:hint="default"/>
      </w:rPr>
    </w:lvl>
    <w:lvl w:ilvl="6" w:tplc="C91A6476" w:tentative="1">
      <w:start w:val="1"/>
      <w:numFmt w:val="bullet"/>
      <w:lvlText w:val="•"/>
      <w:lvlJc w:val="left"/>
      <w:pPr>
        <w:tabs>
          <w:tab w:val="num" w:pos="5040"/>
        </w:tabs>
        <w:ind w:left="5040" w:hanging="360"/>
      </w:pPr>
      <w:rPr>
        <w:rFonts w:ascii="Arial" w:hAnsi="Arial" w:hint="default"/>
      </w:rPr>
    </w:lvl>
    <w:lvl w:ilvl="7" w:tplc="8C6800C4" w:tentative="1">
      <w:start w:val="1"/>
      <w:numFmt w:val="bullet"/>
      <w:lvlText w:val="•"/>
      <w:lvlJc w:val="left"/>
      <w:pPr>
        <w:tabs>
          <w:tab w:val="num" w:pos="5760"/>
        </w:tabs>
        <w:ind w:left="5760" w:hanging="360"/>
      </w:pPr>
      <w:rPr>
        <w:rFonts w:ascii="Arial" w:hAnsi="Arial" w:hint="default"/>
      </w:rPr>
    </w:lvl>
    <w:lvl w:ilvl="8" w:tplc="9D9E3B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B21F4F"/>
    <w:multiLevelType w:val="hybridMultilevel"/>
    <w:tmpl w:val="C164914E"/>
    <w:lvl w:ilvl="0" w:tplc="E4A41F9A">
      <w:start w:val="1"/>
      <w:numFmt w:val="bullet"/>
      <w:lvlText w:val="•"/>
      <w:lvlJc w:val="left"/>
      <w:pPr>
        <w:tabs>
          <w:tab w:val="num" w:pos="720"/>
        </w:tabs>
        <w:ind w:left="720" w:hanging="360"/>
      </w:pPr>
      <w:rPr>
        <w:rFonts w:ascii="Arial" w:hAnsi="Arial" w:hint="default"/>
      </w:rPr>
    </w:lvl>
    <w:lvl w:ilvl="1" w:tplc="CBF04438" w:tentative="1">
      <w:start w:val="1"/>
      <w:numFmt w:val="bullet"/>
      <w:lvlText w:val="•"/>
      <w:lvlJc w:val="left"/>
      <w:pPr>
        <w:tabs>
          <w:tab w:val="num" w:pos="1440"/>
        </w:tabs>
        <w:ind w:left="1440" w:hanging="360"/>
      </w:pPr>
      <w:rPr>
        <w:rFonts w:ascii="Arial" w:hAnsi="Arial" w:hint="default"/>
      </w:rPr>
    </w:lvl>
    <w:lvl w:ilvl="2" w:tplc="A48E5C5E" w:tentative="1">
      <w:start w:val="1"/>
      <w:numFmt w:val="bullet"/>
      <w:lvlText w:val="•"/>
      <w:lvlJc w:val="left"/>
      <w:pPr>
        <w:tabs>
          <w:tab w:val="num" w:pos="2160"/>
        </w:tabs>
        <w:ind w:left="2160" w:hanging="360"/>
      </w:pPr>
      <w:rPr>
        <w:rFonts w:ascii="Arial" w:hAnsi="Arial" w:hint="default"/>
      </w:rPr>
    </w:lvl>
    <w:lvl w:ilvl="3" w:tplc="DF901F0E" w:tentative="1">
      <w:start w:val="1"/>
      <w:numFmt w:val="bullet"/>
      <w:lvlText w:val="•"/>
      <w:lvlJc w:val="left"/>
      <w:pPr>
        <w:tabs>
          <w:tab w:val="num" w:pos="2880"/>
        </w:tabs>
        <w:ind w:left="2880" w:hanging="360"/>
      </w:pPr>
      <w:rPr>
        <w:rFonts w:ascii="Arial" w:hAnsi="Arial" w:hint="default"/>
      </w:rPr>
    </w:lvl>
    <w:lvl w:ilvl="4" w:tplc="D0EC9130" w:tentative="1">
      <w:start w:val="1"/>
      <w:numFmt w:val="bullet"/>
      <w:lvlText w:val="•"/>
      <w:lvlJc w:val="left"/>
      <w:pPr>
        <w:tabs>
          <w:tab w:val="num" w:pos="3600"/>
        </w:tabs>
        <w:ind w:left="3600" w:hanging="360"/>
      </w:pPr>
      <w:rPr>
        <w:rFonts w:ascii="Arial" w:hAnsi="Arial" w:hint="default"/>
      </w:rPr>
    </w:lvl>
    <w:lvl w:ilvl="5" w:tplc="80BE7F78" w:tentative="1">
      <w:start w:val="1"/>
      <w:numFmt w:val="bullet"/>
      <w:lvlText w:val="•"/>
      <w:lvlJc w:val="left"/>
      <w:pPr>
        <w:tabs>
          <w:tab w:val="num" w:pos="4320"/>
        </w:tabs>
        <w:ind w:left="4320" w:hanging="360"/>
      </w:pPr>
      <w:rPr>
        <w:rFonts w:ascii="Arial" w:hAnsi="Arial" w:hint="default"/>
      </w:rPr>
    </w:lvl>
    <w:lvl w:ilvl="6" w:tplc="7C9CEBF6" w:tentative="1">
      <w:start w:val="1"/>
      <w:numFmt w:val="bullet"/>
      <w:lvlText w:val="•"/>
      <w:lvlJc w:val="left"/>
      <w:pPr>
        <w:tabs>
          <w:tab w:val="num" w:pos="5040"/>
        </w:tabs>
        <w:ind w:left="5040" w:hanging="360"/>
      </w:pPr>
      <w:rPr>
        <w:rFonts w:ascii="Arial" w:hAnsi="Arial" w:hint="default"/>
      </w:rPr>
    </w:lvl>
    <w:lvl w:ilvl="7" w:tplc="DA8491B8" w:tentative="1">
      <w:start w:val="1"/>
      <w:numFmt w:val="bullet"/>
      <w:lvlText w:val="•"/>
      <w:lvlJc w:val="left"/>
      <w:pPr>
        <w:tabs>
          <w:tab w:val="num" w:pos="5760"/>
        </w:tabs>
        <w:ind w:left="5760" w:hanging="360"/>
      </w:pPr>
      <w:rPr>
        <w:rFonts w:ascii="Arial" w:hAnsi="Arial" w:hint="default"/>
      </w:rPr>
    </w:lvl>
    <w:lvl w:ilvl="8" w:tplc="B7F49E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74604C"/>
    <w:multiLevelType w:val="hybridMultilevel"/>
    <w:tmpl w:val="A9083712"/>
    <w:lvl w:ilvl="0" w:tplc="C4AEED6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F4CFF"/>
    <w:multiLevelType w:val="hybridMultilevel"/>
    <w:tmpl w:val="67B04036"/>
    <w:lvl w:ilvl="0" w:tplc="993642E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D369B"/>
    <w:multiLevelType w:val="hybridMultilevel"/>
    <w:tmpl w:val="57048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8" w15:restartNumberingAfterBreak="0">
    <w:nsid w:val="57440230"/>
    <w:multiLevelType w:val="hybridMultilevel"/>
    <w:tmpl w:val="98C8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03770"/>
    <w:multiLevelType w:val="hybridMultilevel"/>
    <w:tmpl w:val="0906AF4C"/>
    <w:lvl w:ilvl="0" w:tplc="6E8A1AE2">
      <w:start w:val="1"/>
      <w:numFmt w:val="bullet"/>
      <w:lvlText w:val="•"/>
      <w:lvlJc w:val="left"/>
      <w:pPr>
        <w:tabs>
          <w:tab w:val="num" w:pos="720"/>
        </w:tabs>
        <w:ind w:left="720" w:hanging="360"/>
      </w:pPr>
      <w:rPr>
        <w:rFonts w:ascii="Arial" w:hAnsi="Arial" w:hint="default"/>
      </w:rPr>
    </w:lvl>
    <w:lvl w:ilvl="1" w:tplc="D6842AE6" w:tentative="1">
      <w:start w:val="1"/>
      <w:numFmt w:val="bullet"/>
      <w:lvlText w:val="•"/>
      <w:lvlJc w:val="left"/>
      <w:pPr>
        <w:tabs>
          <w:tab w:val="num" w:pos="1440"/>
        </w:tabs>
        <w:ind w:left="1440" w:hanging="360"/>
      </w:pPr>
      <w:rPr>
        <w:rFonts w:ascii="Arial" w:hAnsi="Arial" w:hint="default"/>
      </w:rPr>
    </w:lvl>
    <w:lvl w:ilvl="2" w:tplc="2A266D16" w:tentative="1">
      <w:start w:val="1"/>
      <w:numFmt w:val="bullet"/>
      <w:lvlText w:val="•"/>
      <w:lvlJc w:val="left"/>
      <w:pPr>
        <w:tabs>
          <w:tab w:val="num" w:pos="2160"/>
        </w:tabs>
        <w:ind w:left="2160" w:hanging="360"/>
      </w:pPr>
      <w:rPr>
        <w:rFonts w:ascii="Arial" w:hAnsi="Arial" w:hint="default"/>
      </w:rPr>
    </w:lvl>
    <w:lvl w:ilvl="3" w:tplc="6D888106" w:tentative="1">
      <w:start w:val="1"/>
      <w:numFmt w:val="bullet"/>
      <w:lvlText w:val="•"/>
      <w:lvlJc w:val="left"/>
      <w:pPr>
        <w:tabs>
          <w:tab w:val="num" w:pos="2880"/>
        </w:tabs>
        <w:ind w:left="2880" w:hanging="360"/>
      </w:pPr>
      <w:rPr>
        <w:rFonts w:ascii="Arial" w:hAnsi="Arial" w:hint="default"/>
      </w:rPr>
    </w:lvl>
    <w:lvl w:ilvl="4" w:tplc="60C4C604" w:tentative="1">
      <w:start w:val="1"/>
      <w:numFmt w:val="bullet"/>
      <w:lvlText w:val="•"/>
      <w:lvlJc w:val="left"/>
      <w:pPr>
        <w:tabs>
          <w:tab w:val="num" w:pos="3600"/>
        </w:tabs>
        <w:ind w:left="3600" w:hanging="360"/>
      </w:pPr>
      <w:rPr>
        <w:rFonts w:ascii="Arial" w:hAnsi="Arial" w:hint="default"/>
      </w:rPr>
    </w:lvl>
    <w:lvl w:ilvl="5" w:tplc="1E76085C" w:tentative="1">
      <w:start w:val="1"/>
      <w:numFmt w:val="bullet"/>
      <w:lvlText w:val="•"/>
      <w:lvlJc w:val="left"/>
      <w:pPr>
        <w:tabs>
          <w:tab w:val="num" w:pos="4320"/>
        </w:tabs>
        <w:ind w:left="4320" w:hanging="360"/>
      </w:pPr>
      <w:rPr>
        <w:rFonts w:ascii="Arial" w:hAnsi="Arial" w:hint="default"/>
      </w:rPr>
    </w:lvl>
    <w:lvl w:ilvl="6" w:tplc="1FFA30E0" w:tentative="1">
      <w:start w:val="1"/>
      <w:numFmt w:val="bullet"/>
      <w:lvlText w:val="•"/>
      <w:lvlJc w:val="left"/>
      <w:pPr>
        <w:tabs>
          <w:tab w:val="num" w:pos="5040"/>
        </w:tabs>
        <w:ind w:left="5040" w:hanging="360"/>
      </w:pPr>
      <w:rPr>
        <w:rFonts w:ascii="Arial" w:hAnsi="Arial" w:hint="default"/>
      </w:rPr>
    </w:lvl>
    <w:lvl w:ilvl="7" w:tplc="663C7C44" w:tentative="1">
      <w:start w:val="1"/>
      <w:numFmt w:val="bullet"/>
      <w:lvlText w:val="•"/>
      <w:lvlJc w:val="left"/>
      <w:pPr>
        <w:tabs>
          <w:tab w:val="num" w:pos="5760"/>
        </w:tabs>
        <w:ind w:left="5760" w:hanging="360"/>
      </w:pPr>
      <w:rPr>
        <w:rFonts w:ascii="Arial" w:hAnsi="Arial" w:hint="default"/>
      </w:rPr>
    </w:lvl>
    <w:lvl w:ilvl="8" w:tplc="E36892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A12BA3"/>
    <w:multiLevelType w:val="hybridMultilevel"/>
    <w:tmpl w:val="8FD20D54"/>
    <w:lvl w:ilvl="0" w:tplc="A5983E46">
      <w:start w:val="1"/>
      <w:numFmt w:val="bullet"/>
      <w:lvlText w:val="•"/>
      <w:lvlJc w:val="left"/>
      <w:pPr>
        <w:tabs>
          <w:tab w:val="num" w:pos="720"/>
        </w:tabs>
        <w:ind w:left="720" w:hanging="360"/>
      </w:pPr>
      <w:rPr>
        <w:rFonts w:ascii="Arial" w:hAnsi="Arial" w:hint="default"/>
      </w:rPr>
    </w:lvl>
    <w:lvl w:ilvl="1" w:tplc="5B50A358" w:tentative="1">
      <w:start w:val="1"/>
      <w:numFmt w:val="bullet"/>
      <w:lvlText w:val="•"/>
      <w:lvlJc w:val="left"/>
      <w:pPr>
        <w:tabs>
          <w:tab w:val="num" w:pos="1440"/>
        </w:tabs>
        <w:ind w:left="1440" w:hanging="360"/>
      </w:pPr>
      <w:rPr>
        <w:rFonts w:ascii="Arial" w:hAnsi="Arial" w:hint="default"/>
      </w:rPr>
    </w:lvl>
    <w:lvl w:ilvl="2" w:tplc="F14C7834" w:tentative="1">
      <w:start w:val="1"/>
      <w:numFmt w:val="bullet"/>
      <w:lvlText w:val="•"/>
      <w:lvlJc w:val="left"/>
      <w:pPr>
        <w:tabs>
          <w:tab w:val="num" w:pos="2160"/>
        </w:tabs>
        <w:ind w:left="2160" w:hanging="360"/>
      </w:pPr>
      <w:rPr>
        <w:rFonts w:ascii="Arial" w:hAnsi="Arial" w:hint="default"/>
      </w:rPr>
    </w:lvl>
    <w:lvl w:ilvl="3" w:tplc="082869C0" w:tentative="1">
      <w:start w:val="1"/>
      <w:numFmt w:val="bullet"/>
      <w:lvlText w:val="•"/>
      <w:lvlJc w:val="left"/>
      <w:pPr>
        <w:tabs>
          <w:tab w:val="num" w:pos="2880"/>
        </w:tabs>
        <w:ind w:left="2880" w:hanging="360"/>
      </w:pPr>
      <w:rPr>
        <w:rFonts w:ascii="Arial" w:hAnsi="Arial" w:hint="default"/>
      </w:rPr>
    </w:lvl>
    <w:lvl w:ilvl="4" w:tplc="69041FE0" w:tentative="1">
      <w:start w:val="1"/>
      <w:numFmt w:val="bullet"/>
      <w:lvlText w:val="•"/>
      <w:lvlJc w:val="left"/>
      <w:pPr>
        <w:tabs>
          <w:tab w:val="num" w:pos="3600"/>
        </w:tabs>
        <w:ind w:left="3600" w:hanging="360"/>
      </w:pPr>
      <w:rPr>
        <w:rFonts w:ascii="Arial" w:hAnsi="Arial" w:hint="default"/>
      </w:rPr>
    </w:lvl>
    <w:lvl w:ilvl="5" w:tplc="3A02BD10" w:tentative="1">
      <w:start w:val="1"/>
      <w:numFmt w:val="bullet"/>
      <w:lvlText w:val="•"/>
      <w:lvlJc w:val="left"/>
      <w:pPr>
        <w:tabs>
          <w:tab w:val="num" w:pos="4320"/>
        </w:tabs>
        <w:ind w:left="4320" w:hanging="360"/>
      </w:pPr>
      <w:rPr>
        <w:rFonts w:ascii="Arial" w:hAnsi="Arial" w:hint="default"/>
      </w:rPr>
    </w:lvl>
    <w:lvl w:ilvl="6" w:tplc="B826347C" w:tentative="1">
      <w:start w:val="1"/>
      <w:numFmt w:val="bullet"/>
      <w:lvlText w:val="•"/>
      <w:lvlJc w:val="left"/>
      <w:pPr>
        <w:tabs>
          <w:tab w:val="num" w:pos="5040"/>
        </w:tabs>
        <w:ind w:left="5040" w:hanging="360"/>
      </w:pPr>
      <w:rPr>
        <w:rFonts w:ascii="Arial" w:hAnsi="Arial" w:hint="default"/>
      </w:rPr>
    </w:lvl>
    <w:lvl w:ilvl="7" w:tplc="006C93EE" w:tentative="1">
      <w:start w:val="1"/>
      <w:numFmt w:val="bullet"/>
      <w:lvlText w:val="•"/>
      <w:lvlJc w:val="left"/>
      <w:pPr>
        <w:tabs>
          <w:tab w:val="num" w:pos="5760"/>
        </w:tabs>
        <w:ind w:left="5760" w:hanging="360"/>
      </w:pPr>
      <w:rPr>
        <w:rFonts w:ascii="Arial" w:hAnsi="Arial" w:hint="default"/>
      </w:rPr>
    </w:lvl>
    <w:lvl w:ilvl="8" w:tplc="AA2AB1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33347A"/>
    <w:multiLevelType w:val="hybridMultilevel"/>
    <w:tmpl w:val="ACE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776A2"/>
    <w:multiLevelType w:val="hybridMultilevel"/>
    <w:tmpl w:val="EA56A5C4"/>
    <w:lvl w:ilvl="0" w:tplc="EC1C7B92">
      <w:start w:val="1"/>
      <w:numFmt w:val="bullet"/>
      <w:lvlText w:val="•"/>
      <w:lvlJc w:val="left"/>
      <w:pPr>
        <w:tabs>
          <w:tab w:val="num" w:pos="720"/>
        </w:tabs>
        <w:ind w:left="720" w:hanging="360"/>
      </w:pPr>
      <w:rPr>
        <w:rFonts w:ascii="Arial" w:hAnsi="Arial" w:hint="default"/>
      </w:rPr>
    </w:lvl>
    <w:lvl w:ilvl="1" w:tplc="FC26D3EE" w:tentative="1">
      <w:start w:val="1"/>
      <w:numFmt w:val="bullet"/>
      <w:lvlText w:val="•"/>
      <w:lvlJc w:val="left"/>
      <w:pPr>
        <w:tabs>
          <w:tab w:val="num" w:pos="1440"/>
        </w:tabs>
        <w:ind w:left="1440" w:hanging="360"/>
      </w:pPr>
      <w:rPr>
        <w:rFonts w:ascii="Arial" w:hAnsi="Arial" w:hint="default"/>
      </w:rPr>
    </w:lvl>
    <w:lvl w:ilvl="2" w:tplc="05EC7338" w:tentative="1">
      <w:start w:val="1"/>
      <w:numFmt w:val="bullet"/>
      <w:lvlText w:val="•"/>
      <w:lvlJc w:val="left"/>
      <w:pPr>
        <w:tabs>
          <w:tab w:val="num" w:pos="2160"/>
        </w:tabs>
        <w:ind w:left="2160" w:hanging="360"/>
      </w:pPr>
      <w:rPr>
        <w:rFonts w:ascii="Arial" w:hAnsi="Arial" w:hint="default"/>
      </w:rPr>
    </w:lvl>
    <w:lvl w:ilvl="3" w:tplc="8AF2FBAA" w:tentative="1">
      <w:start w:val="1"/>
      <w:numFmt w:val="bullet"/>
      <w:lvlText w:val="•"/>
      <w:lvlJc w:val="left"/>
      <w:pPr>
        <w:tabs>
          <w:tab w:val="num" w:pos="2880"/>
        </w:tabs>
        <w:ind w:left="2880" w:hanging="360"/>
      </w:pPr>
      <w:rPr>
        <w:rFonts w:ascii="Arial" w:hAnsi="Arial" w:hint="default"/>
      </w:rPr>
    </w:lvl>
    <w:lvl w:ilvl="4" w:tplc="43A8DF50" w:tentative="1">
      <w:start w:val="1"/>
      <w:numFmt w:val="bullet"/>
      <w:lvlText w:val="•"/>
      <w:lvlJc w:val="left"/>
      <w:pPr>
        <w:tabs>
          <w:tab w:val="num" w:pos="3600"/>
        </w:tabs>
        <w:ind w:left="3600" w:hanging="360"/>
      </w:pPr>
      <w:rPr>
        <w:rFonts w:ascii="Arial" w:hAnsi="Arial" w:hint="default"/>
      </w:rPr>
    </w:lvl>
    <w:lvl w:ilvl="5" w:tplc="8B5A6654" w:tentative="1">
      <w:start w:val="1"/>
      <w:numFmt w:val="bullet"/>
      <w:lvlText w:val="•"/>
      <w:lvlJc w:val="left"/>
      <w:pPr>
        <w:tabs>
          <w:tab w:val="num" w:pos="4320"/>
        </w:tabs>
        <w:ind w:left="4320" w:hanging="360"/>
      </w:pPr>
      <w:rPr>
        <w:rFonts w:ascii="Arial" w:hAnsi="Arial" w:hint="default"/>
      </w:rPr>
    </w:lvl>
    <w:lvl w:ilvl="6" w:tplc="1848C278" w:tentative="1">
      <w:start w:val="1"/>
      <w:numFmt w:val="bullet"/>
      <w:lvlText w:val="•"/>
      <w:lvlJc w:val="left"/>
      <w:pPr>
        <w:tabs>
          <w:tab w:val="num" w:pos="5040"/>
        </w:tabs>
        <w:ind w:left="5040" w:hanging="360"/>
      </w:pPr>
      <w:rPr>
        <w:rFonts w:ascii="Arial" w:hAnsi="Arial" w:hint="default"/>
      </w:rPr>
    </w:lvl>
    <w:lvl w:ilvl="7" w:tplc="09D482CE" w:tentative="1">
      <w:start w:val="1"/>
      <w:numFmt w:val="bullet"/>
      <w:lvlText w:val="•"/>
      <w:lvlJc w:val="left"/>
      <w:pPr>
        <w:tabs>
          <w:tab w:val="num" w:pos="5760"/>
        </w:tabs>
        <w:ind w:left="5760" w:hanging="360"/>
      </w:pPr>
      <w:rPr>
        <w:rFonts w:ascii="Arial" w:hAnsi="Arial" w:hint="default"/>
      </w:rPr>
    </w:lvl>
    <w:lvl w:ilvl="8" w:tplc="BFB62A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E14D7"/>
    <w:multiLevelType w:val="hybridMultilevel"/>
    <w:tmpl w:val="661C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703AC"/>
    <w:multiLevelType w:val="hybridMultilevel"/>
    <w:tmpl w:val="09823C96"/>
    <w:lvl w:ilvl="0" w:tplc="AC14EE40">
      <w:start w:val="1"/>
      <w:numFmt w:val="bullet"/>
      <w:lvlText w:val="•"/>
      <w:lvlJc w:val="left"/>
      <w:pPr>
        <w:tabs>
          <w:tab w:val="num" w:pos="720"/>
        </w:tabs>
        <w:ind w:left="720" w:hanging="360"/>
      </w:pPr>
      <w:rPr>
        <w:rFonts w:ascii="Arial" w:hAnsi="Arial" w:hint="default"/>
      </w:rPr>
    </w:lvl>
    <w:lvl w:ilvl="1" w:tplc="D49E5D86" w:tentative="1">
      <w:start w:val="1"/>
      <w:numFmt w:val="bullet"/>
      <w:lvlText w:val="•"/>
      <w:lvlJc w:val="left"/>
      <w:pPr>
        <w:tabs>
          <w:tab w:val="num" w:pos="1440"/>
        </w:tabs>
        <w:ind w:left="1440" w:hanging="360"/>
      </w:pPr>
      <w:rPr>
        <w:rFonts w:ascii="Arial" w:hAnsi="Arial" w:hint="default"/>
      </w:rPr>
    </w:lvl>
    <w:lvl w:ilvl="2" w:tplc="513E4378" w:tentative="1">
      <w:start w:val="1"/>
      <w:numFmt w:val="bullet"/>
      <w:lvlText w:val="•"/>
      <w:lvlJc w:val="left"/>
      <w:pPr>
        <w:tabs>
          <w:tab w:val="num" w:pos="2160"/>
        </w:tabs>
        <w:ind w:left="2160" w:hanging="360"/>
      </w:pPr>
      <w:rPr>
        <w:rFonts w:ascii="Arial" w:hAnsi="Arial" w:hint="default"/>
      </w:rPr>
    </w:lvl>
    <w:lvl w:ilvl="3" w:tplc="A7805732" w:tentative="1">
      <w:start w:val="1"/>
      <w:numFmt w:val="bullet"/>
      <w:lvlText w:val="•"/>
      <w:lvlJc w:val="left"/>
      <w:pPr>
        <w:tabs>
          <w:tab w:val="num" w:pos="2880"/>
        </w:tabs>
        <w:ind w:left="2880" w:hanging="360"/>
      </w:pPr>
      <w:rPr>
        <w:rFonts w:ascii="Arial" w:hAnsi="Arial" w:hint="default"/>
      </w:rPr>
    </w:lvl>
    <w:lvl w:ilvl="4" w:tplc="B148B7A4" w:tentative="1">
      <w:start w:val="1"/>
      <w:numFmt w:val="bullet"/>
      <w:lvlText w:val="•"/>
      <w:lvlJc w:val="left"/>
      <w:pPr>
        <w:tabs>
          <w:tab w:val="num" w:pos="3600"/>
        </w:tabs>
        <w:ind w:left="3600" w:hanging="360"/>
      </w:pPr>
      <w:rPr>
        <w:rFonts w:ascii="Arial" w:hAnsi="Arial" w:hint="default"/>
      </w:rPr>
    </w:lvl>
    <w:lvl w:ilvl="5" w:tplc="B8529BA4" w:tentative="1">
      <w:start w:val="1"/>
      <w:numFmt w:val="bullet"/>
      <w:lvlText w:val="•"/>
      <w:lvlJc w:val="left"/>
      <w:pPr>
        <w:tabs>
          <w:tab w:val="num" w:pos="4320"/>
        </w:tabs>
        <w:ind w:left="4320" w:hanging="360"/>
      </w:pPr>
      <w:rPr>
        <w:rFonts w:ascii="Arial" w:hAnsi="Arial" w:hint="default"/>
      </w:rPr>
    </w:lvl>
    <w:lvl w:ilvl="6" w:tplc="7AF46AE2" w:tentative="1">
      <w:start w:val="1"/>
      <w:numFmt w:val="bullet"/>
      <w:lvlText w:val="•"/>
      <w:lvlJc w:val="left"/>
      <w:pPr>
        <w:tabs>
          <w:tab w:val="num" w:pos="5040"/>
        </w:tabs>
        <w:ind w:left="5040" w:hanging="360"/>
      </w:pPr>
      <w:rPr>
        <w:rFonts w:ascii="Arial" w:hAnsi="Arial" w:hint="default"/>
      </w:rPr>
    </w:lvl>
    <w:lvl w:ilvl="7" w:tplc="C3D6A2E8" w:tentative="1">
      <w:start w:val="1"/>
      <w:numFmt w:val="bullet"/>
      <w:lvlText w:val="•"/>
      <w:lvlJc w:val="left"/>
      <w:pPr>
        <w:tabs>
          <w:tab w:val="num" w:pos="5760"/>
        </w:tabs>
        <w:ind w:left="5760" w:hanging="360"/>
      </w:pPr>
      <w:rPr>
        <w:rFonts w:ascii="Arial" w:hAnsi="Arial" w:hint="default"/>
      </w:rPr>
    </w:lvl>
    <w:lvl w:ilvl="8" w:tplc="1F707774" w:tentative="1">
      <w:start w:val="1"/>
      <w:numFmt w:val="bullet"/>
      <w:lvlText w:val="•"/>
      <w:lvlJc w:val="left"/>
      <w:pPr>
        <w:tabs>
          <w:tab w:val="num" w:pos="6480"/>
        </w:tabs>
        <w:ind w:left="6480" w:hanging="360"/>
      </w:pPr>
      <w:rPr>
        <w:rFonts w:ascii="Arial" w:hAnsi="Arial" w:hint="default"/>
      </w:rPr>
    </w:lvl>
  </w:abstractNum>
  <w:num w:numId="1" w16cid:durableId="1398237390">
    <w:abstractNumId w:val="11"/>
  </w:num>
  <w:num w:numId="2" w16cid:durableId="967129047">
    <w:abstractNumId w:val="17"/>
  </w:num>
  <w:num w:numId="3" w16cid:durableId="2030795206">
    <w:abstractNumId w:val="10"/>
  </w:num>
  <w:num w:numId="4" w16cid:durableId="1637878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504225">
    <w:abstractNumId w:val="12"/>
  </w:num>
  <w:num w:numId="6" w16cid:durableId="1462385689">
    <w:abstractNumId w:val="27"/>
  </w:num>
  <w:num w:numId="7" w16cid:durableId="1324117954">
    <w:abstractNumId w:val="8"/>
  </w:num>
  <w:num w:numId="8" w16cid:durableId="1933318688">
    <w:abstractNumId w:val="27"/>
  </w:num>
  <w:num w:numId="9" w16cid:durableId="1616399405">
    <w:abstractNumId w:val="8"/>
  </w:num>
  <w:num w:numId="10" w16cid:durableId="92673898">
    <w:abstractNumId w:val="27"/>
  </w:num>
  <w:num w:numId="11" w16cid:durableId="262693610">
    <w:abstractNumId w:val="8"/>
  </w:num>
  <w:num w:numId="12" w16cid:durableId="426925207">
    <w:abstractNumId w:val="33"/>
  </w:num>
  <w:num w:numId="13" w16cid:durableId="1136408488">
    <w:abstractNumId w:val="27"/>
  </w:num>
  <w:num w:numId="14" w16cid:durableId="936712917">
    <w:abstractNumId w:val="8"/>
  </w:num>
  <w:num w:numId="15" w16cid:durableId="901335490">
    <w:abstractNumId w:val="6"/>
  </w:num>
  <w:num w:numId="16" w16cid:durableId="1998799507">
    <w:abstractNumId w:val="26"/>
  </w:num>
  <w:num w:numId="17" w16cid:durableId="1895968482">
    <w:abstractNumId w:val="1"/>
  </w:num>
  <w:num w:numId="18" w16cid:durableId="752818775">
    <w:abstractNumId w:val="27"/>
  </w:num>
  <w:num w:numId="19" w16cid:durableId="674694690">
    <w:abstractNumId w:val="8"/>
  </w:num>
  <w:num w:numId="20" w16cid:durableId="638418376">
    <w:abstractNumId w:val="6"/>
  </w:num>
  <w:num w:numId="21" w16cid:durableId="1559823624">
    <w:abstractNumId w:val="23"/>
  </w:num>
  <w:num w:numId="22" w16cid:durableId="487670930">
    <w:abstractNumId w:val="1"/>
  </w:num>
  <w:num w:numId="23" w16cid:durableId="1040200881">
    <w:abstractNumId w:val="24"/>
  </w:num>
  <w:num w:numId="24" w16cid:durableId="543371426">
    <w:abstractNumId w:val="9"/>
  </w:num>
  <w:num w:numId="25" w16cid:durableId="434594450">
    <w:abstractNumId w:val="13"/>
  </w:num>
  <w:num w:numId="26" w16cid:durableId="819031556">
    <w:abstractNumId w:val="31"/>
  </w:num>
  <w:num w:numId="27" w16cid:durableId="1800032626">
    <w:abstractNumId w:val="22"/>
  </w:num>
  <w:num w:numId="28" w16cid:durableId="995036854">
    <w:abstractNumId w:val="20"/>
  </w:num>
  <w:num w:numId="29" w16cid:durableId="273561303">
    <w:abstractNumId w:val="29"/>
  </w:num>
  <w:num w:numId="30" w16cid:durableId="1065959038">
    <w:abstractNumId w:val="16"/>
  </w:num>
  <w:num w:numId="31" w16cid:durableId="738674460">
    <w:abstractNumId w:val="18"/>
  </w:num>
  <w:num w:numId="32" w16cid:durableId="917716686">
    <w:abstractNumId w:val="19"/>
  </w:num>
  <w:num w:numId="33" w16cid:durableId="732777220">
    <w:abstractNumId w:val="2"/>
  </w:num>
  <w:num w:numId="34" w16cid:durableId="1536195981">
    <w:abstractNumId w:val="0"/>
  </w:num>
  <w:num w:numId="35" w16cid:durableId="1494299587">
    <w:abstractNumId w:val="32"/>
  </w:num>
  <w:num w:numId="36" w16cid:durableId="1505440134">
    <w:abstractNumId w:val="15"/>
  </w:num>
  <w:num w:numId="37" w16cid:durableId="1188638467">
    <w:abstractNumId w:val="28"/>
  </w:num>
  <w:num w:numId="38" w16cid:durableId="659967729">
    <w:abstractNumId w:val="25"/>
  </w:num>
  <w:num w:numId="39" w16cid:durableId="93325727">
    <w:abstractNumId w:val="3"/>
  </w:num>
  <w:num w:numId="40" w16cid:durableId="996423062">
    <w:abstractNumId w:val="5"/>
  </w:num>
  <w:num w:numId="41" w16cid:durableId="684407320">
    <w:abstractNumId w:val="34"/>
  </w:num>
  <w:num w:numId="42" w16cid:durableId="1258754641">
    <w:abstractNumId w:val="7"/>
  </w:num>
  <w:num w:numId="43" w16cid:durableId="1918050603">
    <w:abstractNumId w:val="14"/>
  </w:num>
  <w:num w:numId="44" w16cid:durableId="1764716645">
    <w:abstractNumId w:val="30"/>
  </w:num>
  <w:num w:numId="45" w16cid:durableId="521363710">
    <w:abstractNumId w:val="35"/>
  </w:num>
  <w:num w:numId="46" w16cid:durableId="237984837">
    <w:abstractNumId w:val="21"/>
  </w:num>
  <w:num w:numId="47" w16cid:durableId="93744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MDPI Copy&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dvrzwr5d95wged2vk5epfypxsst99z90as&quot;&gt;Long COVID manuscript&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21&lt;/item&gt;&lt;item&gt;22&lt;/item&gt;&lt;item&gt;23&lt;/item&gt;&lt;item&gt;24&lt;/item&gt;&lt;item&gt;25&lt;/item&gt;&lt;item&gt;26&lt;/item&gt;&lt;item&gt;27&lt;/item&gt;&lt;item&gt;28&lt;/item&gt;&lt;item&gt;29&lt;/item&gt;&lt;item&gt;31&lt;/item&gt;&lt;item&gt;32&lt;/item&gt;&lt;item&gt;33&lt;/item&gt;&lt;item&gt;34&lt;/item&gt;&lt;item&gt;35&lt;/item&gt;&lt;item&gt;36&lt;/item&gt;&lt;item&gt;38&lt;/item&gt;&lt;item&gt;39&lt;/item&gt;&lt;item&gt;43&lt;/item&gt;&lt;item&gt;45&lt;/item&gt;&lt;item&gt;46&lt;/item&gt;&lt;item&gt;47&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record-ids&gt;&lt;/item&gt;&lt;/Libraries&gt;"/>
  </w:docVars>
  <w:rsids>
    <w:rsidRoot w:val="000D7F82"/>
    <w:rsid w:val="00002719"/>
    <w:rsid w:val="00005DC5"/>
    <w:rsid w:val="0000642F"/>
    <w:rsid w:val="0000644C"/>
    <w:rsid w:val="00012848"/>
    <w:rsid w:val="0001524F"/>
    <w:rsid w:val="00021A8D"/>
    <w:rsid w:val="00021AB2"/>
    <w:rsid w:val="00021BB1"/>
    <w:rsid w:val="00023632"/>
    <w:rsid w:val="00025B3A"/>
    <w:rsid w:val="00027041"/>
    <w:rsid w:val="00030C54"/>
    <w:rsid w:val="00033EC7"/>
    <w:rsid w:val="00035880"/>
    <w:rsid w:val="000369E6"/>
    <w:rsid w:val="0003701C"/>
    <w:rsid w:val="00037809"/>
    <w:rsid w:val="000402EA"/>
    <w:rsid w:val="00040C4C"/>
    <w:rsid w:val="00041082"/>
    <w:rsid w:val="00041BEB"/>
    <w:rsid w:val="0004473E"/>
    <w:rsid w:val="00044EE2"/>
    <w:rsid w:val="00046C34"/>
    <w:rsid w:val="00047157"/>
    <w:rsid w:val="00052E11"/>
    <w:rsid w:val="0005379C"/>
    <w:rsid w:val="00054280"/>
    <w:rsid w:val="00055D2B"/>
    <w:rsid w:val="0005781F"/>
    <w:rsid w:val="00062073"/>
    <w:rsid w:val="00062332"/>
    <w:rsid w:val="00064DDA"/>
    <w:rsid w:val="00064EA0"/>
    <w:rsid w:val="000666FD"/>
    <w:rsid w:val="00067817"/>
    <w:rsid w:val="00067907"/>
    <w:rsid w:val="000706E7"/>
    <w:rsid w:val="000718A3"/>
    <w:rsid w:val="00072F84"/>
    <w:rsid w:val="00073246"/>
    <w:rsid w:val="00073CB5"/>
    <w:rsid w:val="00075109"/>
    <w:rsid w:val="00075A8A"/>
    <w:rsid w:val="00077C8D"/>
    <w:rsid w:val="00080812"/>
    <w:rsid w:val="00083BE7"/>
    <w:rsid w:val="00083EFF"/>
    <w:rsid w:val="00084FA7"/>
    <w:rsid w:val="00085DF0"/>
    <w:rsid w:val="00086332"/>
    <w:rsid w:val="00086A99"/>
    <w:rsid w:val="00090A0D"/>
    <w:rsid w:val="000917F0"/>
    <w:rsid w:val="00091A7B"/>
    <w:rsid w:val="00092069"/>
    <w:rsid w:val="000942AC"/>
    <w:rsid w:val="00094C09"/>
    <w:rsid w:val="00096C8B"/>
    <w:rsid w:val="000A060B"/>
    <w:rsid w:val="000A149C"/>
    <w:rsid w:val="000A16B8"/>
    <w:rsid w:val="000A2382"/>
    <w:rsid w:val="000A3EF6"/>
    <w:rsid w:val="000A3F7D"/>
    <w:rsid w:val="000A4844"/>
    <w:rsid w:val="000A4B4E"/>
    <w:rsid w:val="000A4B7A"/>
    <w:rsid w:val="000A4F97"/>
    <w:rsid w:val="000A5CA3"/>
    <w:rsid w:val="000A5E07"/>
    <w:rsid w:val="000A66B3"/>
    <w:rsid w:val="000A7428"/>
    <w:rsid w:val="000A77FC"/>
    <w:rsid w:val="000A794D"/>
    <w:rsid w:val="000B0363"/>
    <w:rsid w:val="000B07D7"/>
    <w:rsid w:val="000B0DC9"/>
    <w:rsid w:val="000B1EAB"/>
    <w:rsid w:val="000B1F27"/>
    <w:rsid w:val="000B410D"/>
    <w:rsid w:val="000B59EB"/>
    <w:rsid w:val="000B728F"/>
    <w:rsid w:val="000C0541"/>
    <w:rsid w:val="000C06D7"/>
    <w:rsid w:val="000C151C"/>
    <w:rsid w:val="000C2890"/>
    <w:rsid w:val="000C2BBA"/>
    <w:rsid w:val="000C3601"/>
    <w:rsid w:val="000D0BB2"/>
    <w:rsid w:val="000D188F"/>
    <w:rsid w:val="000D1DD5"/>
    <w:rsid w:val="000D31D7"/>
    <w:rsid w:val="000D3A67"/>
    <w:rsid w:val="000D4CF4"/>
    <w:rsid w:val="000D57BF"/>
    <w:rsid w:val="000D600A"/>
    <w:rsid w:val="000D7F82"/>
    <w:rsid w:val="000E121C"/>
    <w:rsid w:val="000E5E0A"/>
    <w:rsid w:val="000F051F"/>
    <w:rsid w:val="000F093E"/>
    <w:rsid w:val="000F0F33"/>
    <w:rsid w:val="000F319F"/>
    <w:rsid w:val="000F5158"/>
    <w:rsid w:val="000F563C"/>
    <w:rsid w:val="000F600D"/>
    <w:rsid w:val="000F67DF"/>
    <w:rsid w:val="000F702B"/>
    <w:rsid w:val="000F7424"/>
    <w:rsid w:val="001006C6"/>
    <w:rsid w:val="00104DBD"/>
    <w:rsid w:val="0010597A"/>
    <w:rsid w:val="001062DE"/>
    <w:rsid w:val="00106EDD"/>
    <w:rsid w:val="0010792C"/>
    <w:rsid w:val="00111225"/>
    <w:rsid w:val="0011481F"/>
    <w:rsid w:val="001162F4"/>
    <w:rsid w:val="00122379"/>
    <w:rsid w:val="00122496"/>
    <w:rsid w:val="00124B27"/>
    <w:rsid w:val="00131B89"/>
    <w:rsid w:val="00132E17"/>
    <w:rsid w:val="00135B7A"/>
    <w:rsid w:val="00135C61"/>
    <w:rsid w:val="00137D08"/>
    <w:rsid w:val="001409DD"/>
    <w:rsid w:val="001418FC"/>
    <w:rsid w:val="00141EA9"/>
    <w:rsid w:val="0014266E"/>
    <w:rsid w:val="00143077"/>
    <w:rsid w:val="00144031"/>
    <w:rsid w:val="00144195"/>
    <w:rsid w:val="00144426"/>
    <w:rsid w:val="001449D7"/>
    <w:rsid w:val="00145558"/>
    <w:rsid w:val="00146CE7"/>
    <w:rsid w:val="00150E35"/>
    <w:rsid w:val="001510F6"/>
    <w:rsid w:val="00151E16"/>
    <w:rsid w:val="001535F9"/>
    <w:rsid w:val="00156169"/>
    <w:rsid w:val="00160EF4"/>
    <w:rsid w:val="00163881"/>
    <w:rsid w:val="00167F3E"/>
    <w:rsid w:val="00170020"/>
    <w:rsid w:val="00171965"/>
    <w:rsid w:val="00171D2F"/>
    <w:rsid w:val="00171E66"/>
    <w:rsid w:val="00171E87"/>
    <w:rsid w:val="00173115"/>
    <w:rsid w:val="0017366A"/>
    <w:rsid w:val="00173AB7"/>
    <w:rsid w:val="00173DF1"/>
    <w:rsid w:val="001751E6"/>
    <w:rsid w:val="001751F6"/>
    <w:rsid w:val="001778D3"/>
    <w:rsid w:val="00177D04"/>
    <w:rsid w:val="001812AC"/>
    <w:rsid w:val="001812EE"/>
    <w:rsid w:val="001818C2"/>
    <w:rsid w:val="00181948"/>
    <w:rsid w:val="0018264C"/>
    <w:rsid w:val="00184502"/>
    <w:rsid w:val="00184C20"/>
    <w:rsid w:val="001858F2"/>
    <w:rsid w:val="001900C2"/>
    <w:rsid w:val="001917AD"/>
    <w:rsid w:val="00191C5F"/>
    <w:rsid w:val="0019296F"/>
    <w:rsid w:val="00193256"/>
    <w:rsid w:val="001944AD"/>
    <w:rsid w:val="0019642B"/>
    <w:rsid w:val="001A0BD7"/>
    <w:rsid w:val="001A0C9D"/>
    <w:rsid w:val="001A1E6A"/>
    <w:rsid w:val="001A2B18"/>
    <w:rsid w:val="001A3D5B"/>
    <w:rsid w:val="001A5DEF"/>
    <w:rsid w:val="001A70F3"/>
    <w:rsid w:val="001A74D8"/>
    <w:rsid w:val="001A7B5F"/>
    <w:rsid w:val="001B1F7E"/>
    <w:rsid w:val="001B2CB2"/>
    <w:rsid w:val="001B334B"/>
    <w:rsid w:val="001B4CE1"/>
    <w:rsid w:val="001B638D"/>
    <w:rsid w:val="001B6B13"/>
    <w:rsid w:val="001C00C2"/>
    <w:rsid w:val="001C07D8"/>
    <w:rsid w:val="001C3AF4"/>
    <w:rsid w:val="001C4736"/>
    <w:rsid w:val="001C5249"/>
    <w:rsid w:val="001C546C"/>
    <w:rsid w:val="001C6519"/>
    <w:rsid w:val="001C6CA2"/>
    <w:rsid w:val="001C6DF4"/>
    <w:rsid w:val="001D1BC0"/>
    <w:rsid w:val="001D4C12"/>
    <w:rsid w:val="001D783A"/>
    <w:rsid w:val="001E0D00"/>
    <w:rsid w:val="001E1830"/>
    <w:rsid w:val="001E2403"/>
    <w:rsid w:val="001E2818"/>
    <w:rsid w:val="001E2AEB"/>
    <w:rsid w:val="001E39F6"/>
    <w:rsid w:val="001E5135"/>
    <w:rsid w:val="001E5665"/>
    <w:rsid w:val="001E5724"/>
    <w:rsid w:val="001E6B81"/>
    <w:rsid w:val="001F3408"/>
    <w:rsid w:val="001F37FF"/>
    <w:rsid w:val="001F38F0"/>
    <w:rsid w:val="001F4AF6"/>
    <w:rsid w:val="001F6E3F"/>
    <w:rsid w:val="001F7A6B"/>
    <w:rsid w:val="00201C9E"/>
    <w:rsid w:val="00205ADB"/>
    <w:rsid w:val="00206622"/>
    <w:rsid w:val="00207296"/>
    <w:rsid w:val="002079A5"/>
    <w:rsid w:val="00207A02"/>
    <w:rsid w:val="00212BE2"/>
    <w:rsid w:val="00214AED"/>
    <w:rsid w:val="00215936"/>
    <w:rsid w:val="00215DA0"/>
    <w:rsid w:val="002174AC"/>
    <w:rsid w:val="00217BCF"/>
    <w:rsid w:val="00225863"/>
    <w:rsid w:val="002267B0"/>
    <w:rsid w:val="00226C57"/>
    <w:rsid w:val="00227979"/>
    <w:rsid w:val="002279FF"/>
    <w:rsid w:val="00230441"/>
    <w:rsid w:val="002320BC"/>
    <w:rsid w:val="00232F56"/>
    <w:rsid w:val="00233D0A"/>
    <w:rsid w:val="002348C9"/>
    <w:rsid w:val="00235E31"/>
    <w:rsid w:val="00237B86"/>
    <w:rsid w:val="00242A4B"/>
    <w:rsid w:val="00243427"/>
    <w:rsid w:val="00243E0F"/>
    <w:rsid w:val="002453D7"/>
    <w:rsid w:val="002454F3"/>
    <w:rsid w:val="002461F8"/>
    <w:rsid w:val="00246DA1"/>
    <w:rsid w:val="002477E1"/>
    <w:rsid w:val="00247FEB"/>
    <w:rsid w:val="002538EB"/>
    <w:rsid w:val="002542CF"/>
    <w:rsid w:val="00257BD1"/>
    <w:rsid w:val="0026336B"/>
    <w:rsid w:val="00263933"/>
    <w:rsid w:val="00267E4A"/>
    <w:rsid w:val="00270EEB"/>
    <w:rsid w:val="00271EA8"/>
    <w:rsid w:val="00272409"/>
    <w:rsid w:val="00272666"/>
    <w:rsid w:val="00273B99"/>
    <w:rsid w:val="002752CD"/>
    <w:rsid w:val="0027624A"/>
    <w:rsid w:val="002766A5"/>
    <w:rsid w:val="00277382"/>
    <w:rsid w:val="00280E29"/>
    <w:rsid w:val="00281110"/>
    <w:rsid w:val="00282958"/>
    <w:rsid w:val="00283AFB"/>
    <w:rsid w:val="0028764F"/>
    <w:rsid w:val="002903FA"/>
    <w:rsid w:val="00290966"/>
    <w:rsid w:val="002925CD"/>
    <w:rsid w:val="002940F8"/>
    <w:rsid w:val="002A0734"/>
    <w:rsid w:val="002A21F3"/>
    <w:rsid w:val="002A2426"/>
    <w:rsid w:val="002A2D73"/>
    <w:rsid w:val="002A3FFF"/>
    <w:rsid w:val="002A42CA"/>
    <w:rsid w:val="002A446C"/>
    <w:rsid w:val="002A4AB5"/>
    <w:rsid w:val="002A521B"/>
    <w:rsid w:val="002A5EEF"/>
    <w:rsid w:val="002A7437"/>
    <w:rsid w:val="002B0482"/>
    <w:rsid w:val="002B16CD"/>
    <w:rsid w:val="002B2B08"/>
    <w:rsid w:val="002B4A43"/>
    <w:rsid w:val="002C0468"/>
    <w:rsid w:val="002C0E10"/>
    <w:rsid w:val="002C0FA7"/>
    <w:rsid w:val="002C1D99"/>
    <w:rsid w:val="002C265A"/>
    <w:rsid w:val="002C54FA"/>
    <w:rsid w:val="002C5806"/>
    <w:rsid w:val="002C7CA8"/>
    <w:rsid w:val="002D27C8"/>
    <w:rsid w:val="002D3080"/>
    <w:rsid w:val="002D497C"/>
    <w:rsid w:val="002D6B1A"/>
    <w:rsid w:val="002D7EEB"/>
    <w:rsid w:val="002E0742"/>
    <w:rsid w:val="002E10E6"/>
    <w:rsid w:val="002E3539"/>
    <w:rsid w:val="002E4C93"/>
    <w:rsid w:val="002E5654"/>
    <w:rsid w:val="002E5BDB"/>
    <w:rsid w:val="002F1C5B"/>
    <w:rsid w:val="002F24E0"/>
    <w:rsid w:val="002F32F4"/>
    <w:rsid w:val="002F54D5"/>
    <w:rsid w:val="002F798F"/>
    <w:rsid w:val="002F7DAA"/>
    <w:rsid w:val="003008D1"/>
    <w:rsid w:val="003013F6"/>
    <w:rsid w:val="00302989"/>
    <w:rsid w:val="00302B4D"/>
    <w:rsid w:val="00302E73"/>
    <w:rsid w:val="00303A8E"/>
    <w:rsid w:val="0030406B"/>
    <w:rsid w:val="003042EB"/>
    <w:rsid w:val="00305742"/>
    <w:rsid w:val="00305F22"/>
    <w:rsid w:val="003060EC"/>
    <w:rsid w:val="00310099"/>
    <w:rsid w:val="003106E9"/>
    <w:rsid w:val="0031569F"/>
    <w:rsid w:val="003166D5"/>
    <w:rsid w:val="00320B67"/>
    <w:rsid w:val="0032191C"/>
    <w:rsid w:val="00322D3A"/>
    <w:rsid w:val="00322F7E"/>
    <w:rsid w:val="003251F4"/>
    <w:rsid w:val="00326141"/>
    <w:rsid w:val="0032738C"/>
    <w:rsid w:val="00330238"/>
    <w:rsid w:val="00330F2F"/>
    <w:rsid w:val="003343C3"/>
    <w:rsid w:val="003349B6"/>
    <w:rsid w:val="0033636A"/>
    <w:rsid w:val="00337F8D"/>
    <w:rsid w:val="0034005F"/>
    <w:rsid w:val="003400E1"/>
    <w:rsid w:val="00340801"/>
    <w:rsid w:val="003423A1"/>
    <w:rsid w:val="003428E0"/>
    <w:rsid w:val="00342A72"/>
    <w:rsid w:val="00342A82"/>
    <w:rsid w:val="00342E20"/>
    <w:rsid w:val="00345C55"/>
    <w:rsid w:val="00345CA0"/>
    <w:rsid w:val="00353642"/>
    <w:rsid w:val="00361677"/>
    <w:rsid w:val="00362400"/>
    <w:rsid w:val="0036262C"/>
    <w:rsid w:val="00362B63"/>
    <w:rsid w:val="00362BDF"/>
    <w:rsid w:val="0037005B"/>
    <w:rsid w:val="003702FB"/>
    <w:rsid w:val="003707F5"/>
    <w:rsid w:val="00371443"/>
    <w:rsid w:val="00371F14"/>
    <w:rsid w:val="003723F3"/>
    <w:rsid w:val="00373705"/>
    <w:rsid w:val="00375D55"/>
    <w:rsid w:val="00380094"/>
    <w:rsid w:val="00380585"/>
    <w:rsid w:val="003815B2"/>
    <w:rsid w:val="0038180E"/>
    <w:rsid w:val="003842EF"/>
    <w:rsid w:val="00387376"/>
    <w:rsid w:val="00392AEC"/>
    <w:rsid w:val="00395043"/>
    <w:rsid w:val="003960CA"/>
    <w:rsid w:val="003A121C"/>
    <w:rsid w:val="003A14A9"/>
    <w:rsid w:val="003A4C79"/>
    <w:rsid w:val="003A5AD6"/>
    <w:rsid w:val="003A6FA2"/>
    <w:rsid w:val="003B37F0"/>
    <w:rsid w:val="003B4C13"/>
    <w:rsid w:val="003B5CB6"/>
    <w:rsid w:val="003B5FFA"/>
    <w:rsid w:val="003C044B"/>
    <w:rsid w:val="003C1059"/>
    <w:rsid w:val="003C13EE"/>
    <w:rsid w:val="003C19A5"/>
    <w:rsid w:val="003C19D7"/>
    <w:rsid w:val="003C2F98"/>
    <w:rsid w:val="003C436C"/>
    <w:rsid w:val="003C480A"/>
    <w:rsid w:val="003C4CBB"/>
    <w:rsid w:val="003C5874"/>
    <w:rsid w:val="003C5937"/>
    <w:rsid w:val="003D0126"/>
    <w:rsid w:val="003D0829"/>
    <w:rsid w:val="003D1033"/>
    <w:rsid w:val="003D25D7"/>
    <w:rsid w:val="003D3918"/>
    <w:rsid w:val="003D5100"/>
    <w:rsid w:val="003D584C"/>
    <w:rsid w:val="003D67CA"/>
    <w:rsid w:val="003D6B27"/>
    <w:rsid w:val="003D727B"/>
    <w:rsid w:val="003E3CE3"/>
    <w:rsid w:val="003E3D11"/>
    <w:rsid w:val="003E42DB"/>
    <w:rsid w:val="003E4945"/>
    <w:rsid w:val="003E6BAE"/>
    <w:rsid w:val="003E7305"/>
    <w:rsid w:val="003F060B"/>
    <w:rsid w:val="003F0622"/>
    <w:rsid w:val="003F08D9"/>
    <w:rsid w:val="003F1B1D"/>
    <w:rsid w:val="003F23CC"/>
    <w:rsid w:val="003F5B25"/>
    <w:rsid w:val="00400720"/>
    <w:rsid w:val="004007CA"/>
    <w:rsid w:val="00401D30"/>
    <w:rsid w:val="0040608C"/>
    <w:rsid w:val="00407192"/>
    <w:rsid w:val="004115C0"/>
    <w:rsid w:val="0041741A"/>
    <w:rsid w:val="0041761A"/>
    <w:rsid w:val="00421986"/>
    <w:rsid w:val="00421C7C"/>
    <w:rsid w:val="00422929"/>
    <w:rsid w:val="004244A0"/>
    <w:rsid w:val="00425A2B"/>
    <w:rsid w:val="004269D4"/>
    <w:rsid w:val="00426B4B"/>
    <w:rsid w:val="00430A46"/>
    <w:rsid w:val="00430DB9"/>
    <w:rsid w:val="00432DCE"/>
    <w:rsid w:val="00433B62"/>
    <w:rsid w:val="00435838"/>
    <w:rsid w:val="00441F98"/>
    <w:rsid w:val="00442B59"/>
    <w:rsid w:val="00444FBD"/>
    <w:rsid w:val="00446AB7"/>
    <w:rsid w:val="00446FEB"/>
    <w:rsid w:val="00451864"/>
    <w:rsid w:val="00451D93"/>
    <w:rsid w:val="004528A8"/>
    <w:rsid w:val="004537B3"/>
    <w:rsid w:val="004538A5"/>
    <w:rsid w:val="00455CED"/>
    <w:rsid w:val="00456EC9"/>
    <w:rsid w:val="00461D30"/>
    <w:rsid w:val="00461DE5"/>
    <w:rsid w:val="00465192"/>
    <w:rsid w:val="00465A62"/>
    <w:rsid w:val="004663E5"/>
    <w:rsid w:val="00466621"/>
    <w:rsid w:val="004704D4"/>
    <w:rsid w:val="004707C0"/>
    <w:rsid w:val="004712A3"/>
    <w:rsid w:val="00471C76"/>
    <w:rsid w:val="00471D62"/>
    <w:rsid w:val="0047206D"/>
    <w:rsid w:val="0047222E"/>
    <w:rsid w:val="00472AD4"/>
    <w:rsid w:val="0047311A"/>
    <w:rsid w:val="00473BB6"/>
    <w:rsid w:val="00474CE8"/>
    <w:rsid w:val="0047623C"/>
    <w:rsid w:val="00477FCC"/>
    <w:rsid w:val="00481DC9"/>
    <w:rsid w:val="00483744"/>
    <w:rsid w:val="00484B9D"/>
    <w:rsid w:val="00486622"/>
    <w:rsid w:val="00486717"/>
    <w:rsid w:val="00490B4D"/>
    <w:rsid w:val="0049131B"/>
    <w:rsid w:val="00492426"/>
    <w:rsid w:val="004940FD"/>
    <w:rsid w:val="00494A4E"/>
    <w:rsid w:val="004958F0"/>
    <w:rsid w:val="004A04EA"/>
    <w:rsid w:val="004A13D9"/>
    <w:rsid w:val="004A221C"/>
    <w:rsid w:val="004A2B74"/>
    <w:rsid w:val="004A5BB4"/>
    <w:rsid w:val="004A74A6"/>
    <w:rsid w:val="004A77A3"/>
    <w:rsid w:val="004B0DC4"/>
    <w:rsid w:val="004B13E1"/>
    <w:rsid w:val="004B2C42"/>
    <w:rsid w:val="004B34AD"/>
    <w:rsid w:val="004B3901"/>
    <w:rsid w:val="004B395B"/>
    <w:rsid w:val="004B5B87"/>
    <w:rsid w:val="004B6395"/>
    <w:rsid w:val="004B714E"/>
    <w:rsid w:val="004B7E9C"/>
    <w:rsid w:val="004C02E2"/>
    <w:rsid w:val="004C2FAF"/>
    <w:rsid w:val="004C4B24"/>
    <w:rsid w:val="004C5C97"/>
    <w:rsid w:val="004C5CA2"/>
    <w:rsid w:val="004C6A03"/>
    <w:rsid w:val="004C6AA2"/>
    <w:rsid w:val="004C76D3"/>
    <w:rsid w:val="004D0860"/>
    <w:rsid w:val="004D1713"/>
    <w:rsid w:val="004D2A0D"/>
    <w:rsid w:val="004D3BEE"/>
    <w:rsid w:val="004D45A3"/>
    <w:rsid w:val="004D5365"/>
    <w:rsid w:val="004D6675"/>
    <w:rsid w:val="004E071B"/>
    <w:rsid w:val="004E3A24"/>
    <w:rsid w:val="004E42FD"/>
    <w:rsid w:val="004E52F9"/>
    <w:rsid w:val="004E5B97"/>
    <w:rsid w:val="004E73F2"/>
    <w:rsid w:val="004E7A6B"/>
    <w:rsid w:val="004F0E1D"/>
    <w:rsid w:val="004F3421"/>
    <w:rsid w:val="004F3F79"/>
    <w:rsid w:val="004F4CA3"/>
    <w:rsid w:val="004F5550"/>
    <w:rsid w:val="004F7A5D"/>
    <w:rsid w:val="00500A8C"/>
    <w:rsid w:val="00500B3F"/>
    <w:rsid w:val="00503618"/>
    <w:rsid w:val="005040C3"/>
    <w:rsid w:val="00504658"/>
    <w:rsid w:val="00504C72"/>
    <w:rsid w:val="005073E8"/>
    <w:rsid w:val="00507D31"/>
    <w:rsid w:val="0051008F"/>
    <w:rsid w:val="005100D9"/>
    <w:rsid w:val="00510D43"/>
    <w:rsid w:val="00511127"/>
    <w:rsid w:val="005127C7"/>
    <w:rsid w:val="00513913"/>
    <w:rsid w:val="00515CCF"/>
    <w:rsid w:val="00516C06"/>
    <w:rsid w:val="00516C2B"/>
    <w:rsid w:val="00517DBF"/>
    <w:rsid w:val="0052086C"/>
    <w:rsid w:val="00520989"/>
    <w:rsid w:val="00520C16"/>
    <w:rsid w:val="0052515D"/>
    <w:rsid w:val="00526D2A"/>
    <w:rsid w:val="005278F8"/>
    <w:rsid w:val="0053043F"/>
    <w:rsid w:val="00533642"/>
    <w:rsid w:val="005352BD"/>
    <w:rsid w:val="00535A5B"/>
    <w:rsid w:val="005369DC"/>
    <w:rsid w:val="00536B83"/>
    <w:rsid w:val="005379D5"/>
    <w:rsid w:val="00537BC6"/>
    <w:rsid w:val="0054170C"/>
    <w:rsid w:val="00542ED2"/>
    <w:rsid w:val="00543BAD"/>
    <w:rsid w:val="00544045"/>
    <w:rsid w:val="005449B3"/>
    <w:rsid w:val="00545F14"/>
    <w:rsid w:val="00550C9A"/>
    <w:rsid w:val="0055291D"/>
    <w:rsid w:val="0055310A"/>
    <w:rsid w:val="00553367"/>
    <w:rsid w:val="0055341D"/>
    <w:rsid w:val="00557CCB"/>
    <w:rsid w:val="005618A8"/>
    <w:rsid w:val="00561935"/>
    <w:rsid w:val="00561C46"/>
    <w:rsid w:val="00561E62"/>
    <w:rsid w:val="0056207C"/>
    <w:rsid w:val="00563088"/>
    <w:rsid w:val="005630E3"/>
    <w:rsid w:val="0056331C"/>
    <w:rsid w:val="00563C72"/>
    <w:rsid w:val="00567434"/>
    <w:rsid w:val="005707B2"/>
    <w:rsid w:val="00570B83"/>
    <w:rsid w:val="00570D0A"/>
    <w:rsid w:val="00570D6F"/>
    <w:rsid w:val="0057124F"/>
    <w:rsid w:val="00572098"/>
    <w:rsid w:val="00572C7D"/>
    <w:rsid w:val="00573D79"/>
    <w:rsid w:val="00574227"/>
    <w:rsid w:val="0057567B"/>
    <w:rsid w:val="00575BC0"/>
    <w:rsid w:val="005767D8"/>
    <w:rsid w:val="00576823"/>
    <w:rsid w:val="005775E1"/>
    <w:rsid w:val="00585396"/>
    <w:rsid w:val="0058747B"/>
    <w:rsid w:val="00587E00"/>
    <w:rsid w:val="00590222"/>
    <w:rsid w:val="005906E4"/>
    <w:rsid w:val="00590BC0"/>
    <w:rsid w:val="00590D26"/>
    <w:rsid w:val="0059105E"/>
    <w:rsid w:val="00591EAF"/>
    <w:rsid w:val="00592A57"/>
    <w:rsid w:val="00592D3D"/>
    <w:rsid w:val="00593636"/>
    <w:rsid w:val="0059496A"/>
    <w:rsid w:val="005A0C3C"/>
    <w:rsid w:val="005A0F39"/>
    <w:rsid w:val="005A1F99"/>
    <w:rsid w:val="005A21EE"/>
    <w:rsid w:val="005A4750"/>
    <w:rsid w:val="005A48CD"/>
    <w:rsid w:val="005B1F58"/>
    <w:rsid w:val="005B2A3C"/>
    <w:rsid w:val="005B2E39"/>
    <w:rsid w:val="005B3FE1"/>
    <w:rsid w:val="005B5E42"/>
    <w:rsid w:val="005B642D"/>
    <w:rsid w:val="005B7120"/>
    <w:rsid w:val="005C0198"/>
    <w:rsid w:val="005C10E4"/>
    <w:rsid w:val="005C2060"/>
    <w:rsid w:val="005C25A2"/>
    <w:rsid w:val="005C3A96"/>
    <w:rsid w:val="005C470A"/>
    <w:rsid w:val="005C4856"/>
    <w:rsid w:val="005C72C6"/>
    <w:rsid w:val="005C7632"/>
    <w:rsid w:val="005D13A4"/>
    <w:rsid w:val="005D3F16"/>
    <w:rsid w:val="005D5F25"/>
    <w:rsid w:val="005D6D2D"/>
    <w:rsid w:val="005D7761"/>
    <w:rsid w:val="005E29B0"/>
    <w:rsid w:val="005E6102"/>
    <w:rsid w:val="005E682E"/>
    <w:rsid w:val="005F1B2C"/>
    <w:rsid w:val="005F2C76"/>
    <w:rsid w:val="005F5408"/>
    <w:rsid w:val="005F67FF"/>
    <w:rsid w:val="00600909"/>
    <w:rsid w:val="00601104"/>
    <w:rsid w:val="00601452"/>
    <w:rsid w:val="006028AF"/>
    <w:rsid w:val="006028CB"/>
    <w:rsid w:val="0060316C"/>
    <w:rsid w:val="006036CE"/>
    <w:rsid w:val="00606605"/>
    <w:rsid w:val="00606887"/>
    <w:rsid w:val="006100DB"/>
    <w:rsid w:val="0061191F"/>
    <w:rsid w:val="00612D4E"/>
    <w:rsid w:val="00612E50"/>
    <w:rsid w:val="00612EA1"/>
    <w:rsid w:val="00613F84"/>
    <w:rsid w:val="00614083"/>
    <w:rsid w:val="00615337"/>
    <w:rsid w:val="006158A6"/>
    <w:rsid w:val="00616D99"/>
    <w:rsid w:val="00616E4F"/>
    <w:rsid w:val="006172E8"/>
    <w:rsid w:val="00617865"/>
    <w:rsid w:val="00617FF8"/>
    <w:rsid w:val="00620376"/>
    <w:rsid w:val="00622ADA"/>
    <w:rsid w:val="00623F38"/>
    <w:rsid w:val="006241D2"/>
    <w:rsid w:val="00624C99"/>
    <w:rsid w:val="00625D59"/>
    <w:rsid w:val="00627A4E"/>
    <w:rsid w:val="006339D7"/>
    <w:rsid w:val="00635462"/>
    <w:rsid w:val="0063729A"/>
    <w:rsid w:val="00637FC9"/>
    <w:rsid w:val="00642D0B"/>
    <w:rsid w:val="00643269"/>
    <w:rsid w:val="00645ED3"/>
    <w:rsid w:val="006464AE"/>
    <w:rsid w:val="00647BC5"/>
    <w:rsid w:val="00650095"/>
    <w:rsid w:val="006503AD"/>
    <w:rsid w:val="00650E2A"/>
    <w:rsid w:val="00651433"/>
    <w:rsid w:val="00651F9C"/>
    <w:rsid w:val="00653966"/>
    <w:rsid w:val="00655823"/>
    <w:rsid w:val="00655ACB"/>
    <w:rsid w:val="00656318"/>
    <w:rsid w:val="00657334"/>
    <w:rsid w:val="006574F0"/>
    <w:rsid w:val="00660500"/>
    <w:rsid w:val="00660E87"/>
    <w:rsid w:val="00661FE8"/>
    <w:rsid w:val="00664986"/>
    <w:rsid w:val="00664CB8"/>
    <w:rsid w:val="00664F3D"/>
    <w:rsid w:val="006659D9"/>
    <w:rsid w:val="006667C4"/>
    <w:rsid w:val="00666C3C"/>
    <w:rsid w:val="00667DA4"/>
    <w:rsid w:val="006713FD"/>
    <w:rsid w:val="00671A77"/>
    <w:rsid w:val="00674AD7"/>
    <w:rsid w:val="006758C7"/>
    <w:rsid w:val="00676CE1"/>
    <w:rsid w:val="00676F1F"/>
    <w:rsid w:val="00677653"/>
    <w:rsid w:val="00683E6F"/>
    <w:rsid w:val="00684E49"/>
    <w:rsid w:val="006853A1"/>
    <w:rsid w:val="006878C6"/>
    <w:rsid w:val="0069032C"/>
    <w:rsid w:val="00692393"/>
    <w:rsid w:val="00692788"/>
    <w:rsid w:val="0069395E"/>
    <w:rsid w:val="00693D76"/>
    <w:rsid w:val="00697838"/>
    <w:rsid w:val="006A0261"/>
    <w:rsid w:val="006A0297"/>
    <w:rsid w:val="006A0876"/>
    <w:rsid w:val="006A184C"/>
    <w:rsid w:val="006A2592"/>
    <w:rsid w:val="006A2FBD"/>
    <w:rsid w:val="006A3D1E"/>
    <w:rsid w:val="006A55F1"/>
    <w:rsid w:val="006A77C8"/>
    <w:rsid w:val="006A7DAB"/>
    <w:rsid w:val="006B0928"/>
    <w:rsid w:val="006B5996"/>
    <w:rsid w:val="006B6471"/>
    <w:rsid w:val="006B7130"/>
    <w:rsid w:val="006B741C"/>
    <w:rsid w:val="006B7E3E"/>
    <w:rsid w:val="006C077D"/>
    <w:rsid w:val="006C11A8"/>
    <w:rsid w:val="006C343B"/>
    <w:rsid w:val="006C34EE"/>
    <w:rsid w:val="006C4B98"/>
    <w:rsid w:val="006C5F8A"/>
    <w:rsid w:val="006C75C6"/>
    <w:rsid w:val="006D261B"/>
    <w:rsid w:val="006D6875"/>
    <w:rsid w:val="006D6A3E"/>
    <w:rsid w:val="006E0092"/>
    <w:rsid w:val="006E18A3"/>
    <w:rsid w:val="006E64F8"/>
    <w:rsid w:val="006F1960"/>
    <w:rsid w:val="006F206C"/>
    <w:rsid w:val="006F2735"/>
    <w:rsid w:val="006F4A3A"/>
    <w:rsid w:val="006F57C2"/>
    <w:rsid w:val="006F59E3"/>
    <w:rsid w:val="006F7509"/>
    <w:rsid w:val="00700485"/>
    <w:rsid w:val="00700D29"/>
    <w:rsid w:val="00701BE5"/>
    <w:rsid w:val="00703AB2"/>
    <w:rsid w:val="00703D69"/>
    <w:rsid w:val="007047CD"/>
    <w:rsid w:val="00705E68"/>
    <w:rsid w:val="00707D60"/>
    <w:rsid w:val="00707E13"/>
    <w:rsid w:val="007140CF"/>
    <w:rsid w:val="00715FCA"/>
    <w:rsid w:val="00716ABF"/>
    <w:rsid w:val="00717D50"/>
    <w:rsid w:val="00717ED7"/>
    <w:rsid w:val="0072164F"/>
    <w:rsid w:val="00721FFE"/>
    <w:rsid w:val="00723664"/>
    <w:rsid w:val="00724718"/>
    <w:rsid w:val="0072493A"/>
    <w:rsid w:val="00726BE3"/>
    <w:rsid w:val="00726EEB"/>
    <w:rsid w:val="007337CD"/>
    <w:rsid w:val="00734172"/>
    <w:rsid w:val="007347A0"/>
    <w:rsid w:val="00734E04"/>
    <w:rsid w:val="00736E15"/>
    <w:rsid w:val="00741D47"/>
    <w:rsid w:val="0074394B"/>
    <w:rsid w:val="00743D08"/>
    <w:rsid w:val="00745376"/>
    <w:rsid w:val="00745F77"/>
    <w:rsid w:val="00746022"/>
    <w:rsid w:val="00746135"/>
    <w:rsid w:val="007464B0"/>
    <w:rsid w:val="0074744C"/>
    <w:rsid w:val="00750247"/>
    <w:rsid w:val="007523A7"/>
    <w:rsid w:val="007524A3"/>
    <w:rsid w:val="0075437D"/>
    <w:rsid w:val="00754B0E"/>
    <w:rsid w:val="00761A06"/>
    <w:rsid w:val="00761BE4"/>
    <w:rsid w:val="0076207C"/>
    <w:rsid w:val="00762D78"/>
    <w:rsid w:val="00763DB5"/>
    <w:rsid w:val="00764ABF"/>
    <w:rsid w:val="00764D70"/>
    <w:rsid w:val="0076528D"/>
    <w:rsid w:val="00765AA1"/>
    <w:rsid w:val="00767AE2"/>
    <w:rsid w:val="00767BE1"/>
    <w:rsid w:val="00771165"/>
    <w:rsid w:val="00771708"/>
    <w:rsid w:val="00772CD8"/>
    <w:rsid w:val="0077389C"/>
    <w:rsid w:val="00773A54"/>
    <w:rsid w:val="00783411"/>
    <w:rsid w:val="00783D47"/>
    <w:rsid w:val="00783DE7"/>
    <w:rsid w:val="00783ED9"/>
    <w:rsid w:val="00785D38"/>
    <w:rsid w:val="00787C93"/>
    <w:rsid w:val="0079253B"/>
    <w:rsid w:val="00792CE5"/>
    <w:rsid w:val="0079380D"/>
    <w:rsid w:val="0079545D"/>
    <w:rsid w:val="00795471"/>
    <w:rsid w:val="00796787"/>
    <w:rsid w:val="007A03AE"/>
    <w:rsid w:val="007A2463"/>
    <w:rsid w:val="007A4E2E"/>
    <w:rsid w:val="007A517F"/>
    <w:rsid w:val="007A52A4"/>
    <w:rsid w:val="007A6CEC"/>
    <w:rsid w:val="007B0E4A"/>
    <w:rsid w:val="007B1129"/>
    <w:rsid w:val="007B2711"/>
    <w:rsid w:val="007B3EAE"/>
    <w:rsid w:val="007B5278"/>
    <w:rsid w:val="007B559B"/>
    <w:rsid w:val="007B59F2"/>
    <w:rsid w:val="007B5E6A"/>
    <w:rsid w:val="007B6803"/>
    <w:rsid w:val="007B6D2A"/>
    <w:rsid w:val="007C1159"/>
    <w:rsid w:val="007C3BDB"/>
    <w:rsid w:val="007C6146"/>
    <w:rsid w:val="007C7669"/>
    <w:rsid w:val="007C7BFD"/>
    <w:rsid w:val="007C7E3B"/>
    <w:rsid w:val="007D1695"/>
    <w:rsid w:val="007D1B61"/>
    <w:rsid w:val="007D2416"/>
    <w:rsid w:val="007D3264"/>
    <w:rsid w:val="007D5325"/>
    <w:rsid w:val="007D6CF8"/>
    <w:rsid w:val="007E0518"/>
    <w:rsid w:val="007E1A6B"/>
    <w:rsid w:val="007E2563"/>
    <w:rsid w:val="007E30D5"/>
    <w:rsid w:val="007E5255"/>
    <w:rsid w:val="007E6869"/>
    <w:rsid w:val="007E6D8D"/>
    <w:rsid w:val="007E77D3"/>
    <w:rsid w:val="007F04AE"/>
    <w:rsid w:val="007F1042"/>
    <w:rsid w:val="007F1485"/>
    <w:rsid w:val="007F207D"/>
    <w:rsid w:val="007F26B0"/>
    <w:rsid w:val="007F32B5"/>
    <w:rsid w:val="007F4A84"/>
    <w:rsid w:val="007F5ABA"/>
    <w:rsid w:val="007F6CC2"/>
    <w:rsid w:val="00802481"/>
    <w:rsid w:val="00803408"/>
    <w:rsid w:val="00806269"/>
    <w:rsid w:val="00806EB3"/>
    <w:rsid w:val="00807970"/>
    <w:rsid w:val="00810968"/>
    <w:rsid w:val="00811348"/>
    <w:rsid w:val="00814479"/>
    <w:rsid w:val="00815E3A"/>
    <w:rsid w:val="00816E4B"/>
    <w:rsid w:val="0082137E"/>
    <w:rsid w:val="00823A52"/>
    <w:rsid w:val="00823B14"/>
    <w:rsid w:val="008246AA"/>
    <w:rsid w:val="00826240"/>
    <w:rsid w:val="0082702D"/>
    <w:rsid w:val="0082780F"/>
    <w:rsid w:val="00832538"/>
    <w:rsid w:val="00834803"/>
    <w:rsid w:val="00835780"/>
    <w:rsid w:val="00837288"/>
    <w:rsid w:val="00843322"/>
    <w:rsid w:val="00844130"/>
    <w:rsid w:val="00844DF1"/>
    <w:rsid w:val="0084552B"/>
    <w:rsid w:val="00850CB9"/>
    <w:rsid w:val="00851F23"/>
    <w:rsid w:val="00852225"/>
    <w:rsid w:val="0085231F"/>
    <w:rsid w:val="00852A6C"/>
    <w:rsid w:val="00852EAB"/>
    <w:rsid w:val="00853F92"/>
    <w:rsid w:val="00854F34"/>
    <w:rsid w:val="0085586B"/>
    <w:rsid w:val="00857EF6"/>
    <w:rsid w:val="00861C3E"/>
    <w:rsid w:val="008621CE"/>
    <w:rsid w:val="008631BC"/>
    <w:rsid w:val="008644B6"/>
    <w:rsid w:val="0086745B"/>
    <w:rsid w:val="0086783F"/>
    <w:rsid w:val="008718CA"/>
    <w:rsid w:val="008718D5"/>
    <w:rsid w:val="0087393D"/>
    <w:rsid w:val="00874338"/>
    <w:rsid w:val="00874894"/>
    <w:rsid w:val="00876694"/>
    <w:rsid w:val="00877EF7"/>
    <w:rsid w:val="00880624"/>
    <w:rsid w:val="0088219F"/>
    <w:rsid w:val="00882666"/>
    <w:rsid w:val="008837DF"/>
    <w:rsid w:val="008856CD"/>
    <w:rsid w:val="00885E3F"/>
    <w:rsid w:val="008865F8"/>
    <w:rsid w:val="00886ACD"/>
    <w:rsid w:val="00887A86"/>
    <w:rsid w:val="00894B03"/>
    <w:rsid w:val="00896AC9"/>
    <w:rsid w:val="00896E74"/>
    <w:rsid w:val="008A2DB2"/>
    <w:rsid w:val="008A387E"/>
    <w:rsid w:val="008A396E"/>
    <w:rsid w:val="008A3A2D"/>
    <w:rsid w:val="008A4036"/>
    <w:rsid w:val="008A49A6"/>
    <w:rsid w:val="008A4D82"/>
    <w:rsid w:val="008A4DC4"/>
    <w:rsid w:val="008A4DEA"/>
    <w:rsid w:val="008A4F29"/>
    <w:rsid w:val="008A4F40"/>
    <w:rsid w:val="008A707A"/>
    <w:rsid w:val="008B2989"/>
    <w:rsid w:val="008B2B38"/>
    <w:rsid w:val="008B6AEC"/>
    <w:rsid w:val="008B73E0"/>
    <w:rsid w:val="008C692D"/>
    <w:rsid w:val="008C784D"/>
    <w:rsid w:val="008D03F9"/>
    <w:rsid w:val="008D53F9"/>
    <w:rsid w:val="008D65AA"/>
    <w:rsid w:val="008E1534"/>
    <w:rsid w:val="008E1E9E"/>
    <w:rsid w:val="008E322C"/>
    <w:rsid w:val="008E4495"/>
    <w:rsid w:val="008E44D3"/>
    <w:rsid w:val="008E4C02"/>
    <w:rsid w:val="008E5E16"/>
    <w:rsid w:val="008E5F08"/>
    <w:rsid w:val="008E702C"/>
    <w:rsid w:val="008F15D7"/>
    <w:rsid w:val="008F2C12"/>
    <w:rsid w:val="008F40C7"/>
    <w:rsid w:val="008F69D5"/>
    <w:rsid w:val="008F79CE"/>
    <w:rsid w:val="009007D6"/>
    <w:rsid w:val="00901ABC"/>
    <w:rsid w:val="009025A5"/>
    <w:rsid w:val="009073EB"/>
    <w:rsid w:val="0090790E"/>
    <w:rsid w:val="00907B8E"/>
    <w:rsid w:val="00914DAB"/>
    <w:rsid w:val="00916254"/>
    <w:rsid w:val="0091759B"/>
    <w:rsid w:val="00917E5F"/>
    <w:rsid w:val="00920955"/>
    <w:rsid w:val="009232C1"/>
    <w:rsid w:val="009249D3"/>
    <w:rsid w:val="00925281"/>
    <w:rsid w:val="0092630C"/>
    <w:rsid w:val="00931A91"/>
    <w:rsid w:val="00940527"/>
    <w:rsid w:val="00941870"/>
    <w:rsid w:val="00944FC5"/>
    <w:rsid w:val="00951A56"/>
    <w:rsid w:val="0095288B"/>
    <w:rsid w:val="009536FF"/>
    <w:rsid w:val="009556D1"/>
    <w:rsid w:val="00955B95"/>
    <w:rsid w:val="00955C73"/>
    <w:rsid w:val="00957EF8"/>
    <w:rsid w:val="00963295"/>
    <w:rsid w:val="00965904"/>
    <w:rsid w:val="009661C0"/>
    <w:rsid w:val="00967FD8"/>
    <w:rsid w:val="0097021B"/>
    <w:rsid w:val="00970926"/>
    <w:rsid w:val="009711E4"/>
    <w:rsid w:val="00971AC5"/>
    <w:rsid w:val="00971B41"/>
    <w:rsid w:val="00972B5B"/>
    <w:rsid w:val="00972E2C"/>
    <w:rsid w:val="0097419C"/>
    <w:rsid w:val="00975793"/>
    <w:rsid w:val="00975E97"/>
    <w:rsid w:val="009803FF"/>
    <w:rsid w:val="00981CCD"/>
    <w:rsid w:val="00986C3E"/>
    <w:rsid w:val="009870A3"/>
    <w:rsid w:val="00987E31"/>
    <w:rsid w:val="00990F86"/>
    <w:rsid w:val="00992677"/>
    <w:rsid w:val="009957A8"/>
    <w:rsid w:val="009969C0"/>
    <w:rsid w:val="0099798E"/>
    <w:rsid w:val="009A07AE"/>
    <w:rsid w:val="009A137F"/>
    <w:rsid w:val="009A17E8"/>
    <w:rsid w:val="009A226D"/>
    <w:rsid w:val="009A3948"/>
    <w:rsid w:val="009A4BB3"/>
    <w:rsid w:val="009A6C49"/>
    <w:rsid w:val="009B4475"/>
    <w:rsid w:val="009B4725"/>
    <w:rsid w:val="009B4A34"/>
    <w:rsid w:val="009B5843"/>
    <w:rsid w:val="009B5AE2"/>
    <w:rsid w:val="009C1247"/>
    <w:rsid w:val="009C4CA3"/>
    <w:rsid w:val="009C4FB1"/>
    <w:rsid w:val="009C58DF"/>
    <w:rsid w:val="009C727B"/>
    <w:rsid w:val="009D1EA0"/>
    <w:rsid w:val="009D4462"/>
    <w:rsid w:val="009D4915"/>
    <w:rsid w:val="009D4AA6"/>
    <w:rsid w:val="009D6D1F"/>
    <w:rsid w:val="009D7320"/>
    <w:rsid w:val="009D7F03"/>
    <w:rsid w:val="009E038C"/>
    <w:rsid w:val="009E3760"/>
    <w:rsid w:val="009E3F41"/>
    <w:rsid w:val="009E4BD2"/>
    <w:rsid w:val="009E5121"/>
    <w:rsid w:val="009E5DEC"/>
    <w:rsid w:val="009E6633"/>
    <w:rsid w:val="009E6C88"/>
    <w:rsid w:val="009E6EE9"/>
    <w:rsid w:val="009F0354"/>
    <w:rsid w:val="009F138C"/>
    <w:rsid w:val="009F70E6"/>
    <w:rsid w:val="00A0232A"/>
    <w:rsid w:val="00A02FF2"/>
    <w:rsid w:val="00A0372B"/>
    <w:rsid w:val="00A04964"/>
    <w:rsid w:val="00A04D40"/>
    <w:rsid w:val="00A06D8C"/>
    <w:rsid w:val="00A11116"/>
    <w:rsid w:val="00A124BE"/>
    <w:rsid w:val="00A12D1C"/>
    <w:rsid w:val="00A15B73"/>
    <w:rsid w:val="00A1629B"/>
    <w:rsid w:val="00A172F3"/>
    <w:rsid w:val="00A20030"/>
    <w:rsid w:val="00A2086F"/>
    <w:rsid w:val="00A21214"/>
    <w:rsid w:val="00A21B1F"/>
    <w:rsid w:val="00A22B5F"/>
    <w:rsid w:val="00A23A12"/>
    <w:rsid w:val="00A23C63"/>
    <w:rsid w:val="00A243CB"/>
    <w:rsid w:val="00A249B0"/>
    <w:rsid w:val="00A25AA8"/>
    <w:rsid w:val="00A26AD3"/>
    <w:rsid w:val="00A275F5"/>
    <w:rsid w:val="00A30E5C"/>
    <w:rsid w:val="00A344BF"/>
    <w:rsid w:val="00A348FB"/>
    <w:rsid w:val="00A36447"/>
    <w:rsid w:val="00A36684"/>
    <w:rsid w:val="00A36BA7"/>
    <w:rsid w:val="00A37626"/>
    <w:rsid w:val="00A40D9B"/>
    <w:rsid w:val="00A41117"/>
    <w:rsid w:val="00A412A6"/>
    <w:rsid w:val="00A41D7F"/>
    <w:rsid w:val="00A41E4C"/>
    <w:rsid w:val="00A443F0"/>
    <w:rsid w:val="00A46307"/>
    <w:rsid w:val="00A509DB"/>
    <w:rsid w:val="00A50B5A"/>
    <w:rsid w:val="00A55358"/>
    <w:rsid w:val="00A6313C"/>
    <w:rsid w:val="00A65953"/>
    <w:rsid w:val="00A668B3"/>
    <w:rsid w:val="00A67909"/>
    <w:rsid w:val="00A70E11"/>
    <w:rsid w:val="00A7527C"/>
    <w:rsid w:val="00A753C2"/>
    <w:rsid w:val="00A75D84"/>
    <w:rsid w:val="00A80737"/>
    <w:rsid w:val="00A814DB"/>
    <w:rsid w:val="00A8173B"/>
    <w:rsid w:val="00A82AE8"/>
    <w:rsid w:val="00A836D3"/>
    <w:rsid w:val="00A86687"/>
    <w:rsid w:val="00A9466F"/>
    <w:rsid w:val="00A9470B"/>
    <w:rsid w:val="00A95FD5"/>
    <w:rsid w:val="00AA0817"/>
    <w:rsid w:val="00AA1DA2"/>
    <w:rsid w:val="00AA3119"/>
    <w:rsid w:val="00AA488A"/>
    <w:rsid w:val="00AA4DB5"/>
    <w:rsid w:val="00AB2505"/>
    <w:rsid w:val="00AB28A3"/>
    <w:rsid w:val="00AB3BC5"/>
    <w:rsid w:val="00AB3CBD"/>
    <w:rsid w:val="00AB40CF"/>
    <w:rsid w:val="00AB4126"/>
    <w:rsid w:val="00AB7CB4"/>
    <w:rsid w:val="00AC167F"/>
    <w:rsid w:val="00AC2106"/>
    <w:rsid w:val="00AC2247"/>
    <w:rsid w:val="00AC2293"/>
    <w:rsid w:val="00AC3CE1"/>
    <w:rsid w:val="00AC482C"/>
    <w:rsid w:val="00AC71F9"/>
    <w:rsid w:val="00AC79FC"/>
    <w:rsid w:val="00AD2A62"/>
    <w:rsid w:val="00AD2F77"/>
    <w:rsid w:val="00AD3403"/>
    <w:rsid w:val="00AD3B5A"/>
    <w:rsid w:val="00AD6B86"/>
    <w:rsid w:val="00AD72C5"/>
    <w:rsid w:val="00AD7E37"/>
    <w:rsid w:val="00AE16FD"/>
    <w:rsid w:val="00AE23FE"/>
    <w:rsid w:val="00AE2A06"/>
    <w:rsid w:val="00AE2BA1"/>
    <w:rsid w:val="00AE4DED"/>
    <w:rsid w:val="00AE5622"/>
    <w:rsid w:val="00AE5E3E"/>
    <w:rsid w:val="00AE60EF"/>
    <w:rsid w:val="00AE7BB0"/>
    <w:rsid w:val="00AF027E"/>
    <w:rsid w:val="00AF11A5"/>
    <w:rsid w:val="00AF25DC"/>
    <w:rsid w:val="00AF4574"/>
    <w:rsid w:val="00AF62BC"/>
    <w:rsid w:val="00B02ABA"/>
    <w:rsid w:val="00B04993"/>
    <w:rsid w:val="00B05843"/>
    <w:rsid w:val="00B068C9"/>
    <w:rsid w:val="00B104F7"/>
    <w:rsid w:val="00B107D2"/>
    <w:rsid w:val="00B11CDA"/>
    <w:rsid w:val="00B12495"/>
    <w:rsid w:val="00B13FB5"/>
    <w:rsid w:val="00B147C6"/>
    <w:rsid w:val="00B15C61"/>
    <w:rsid w:val="00B15E00"/>
    <w:rsid w:val="00B20424"/>
    <w:rsid w:val="00B211D8"/>
    <w:rsid w:val="00B26E7D"/>
    <w:rsid w:val="00B27454"/>
    <w:rsid w:val="00B27F67"/>
    <w:rsid w:val="00B30313"/>
    <w:rsid w:val="00B30CF8"/>
    <w:rsid w:val="00B32A58"/>
    <w:rsid w:val="00B333A1"/>
    <w:rsid w:val="00B33542"/>
    <w:rsid w:val="00B3487E"/>
    <w:rsid w:val="00B34D1F"/>
    <w:rsid w:val="00B36483"/>
    <w:rsid w:val="00B40C2C"/>
    <w:rsid w:val="00B41924"/>
    <w:rsid w:val="00B41D73"/>
    <w:rsid w:val="00B42E0F"/>
    <w:rsid w:val="00B436F0"/>
    <w:rsid w:val="00B45D07"/>
    <w:rsid w:val="00B46351"/>
    <w:rsid w:val="00B510AB"/>
    <w:rsid w:val="00B534EB"/>
    <w:rsid w:val="00B541F4"/>
    <w:rsid w:val="00B542E5"/>
    <w:rsid w:val="00B55CF3"/>
    <w:rsid w:val="00B56F2F"/>
    <w:rsid w:val="00B5757A"/>
    <w:rsid w:val="00B57E89"/>
    <w:rsid w:val="00B60A08"/>
    <w:rsid w:val="00B61726"/>
    <w:rsid w:val="00B63C8C"/>
    <w:rsid w:val="00B675A7"/>
    <w:rsid w:val="00B71393"/>
    <w:rsid w:val="00B72F14"/>
    <w:rsid w:val="00B73084"/>
    <w:rsid w:val="00B75251"/>
    <w:rsid w:val="00B758E4"/>
    <w:rsid w:val="00B77D90"/>
    <w:rsid w:val="00B91A13"/>
    <w:rsid w:val="00B91E22"/>
    <w:rsid w:val="00B93307"/>
    <w:rsid w:val="00B93F0E"/>
    <w:rsid w:val="00B95108"/>
    <w:rsid w:val="00B9535D"/>
    <w:rsid w:val="00B96AE0"/>
    <w:rsid w:val="00B96CC7"/>
    <w:rsid w:val="00B97D76"/>
    <w:rsid w:val="00BA1B69"/>
    <w:rsid w:val="00BA2B1C"/>
    <w:rsid w:val="00BA2D81"/>
    <w:rsid w:val="00BA4DC4"/>
    <w:rsid w:val="00BA73CA"/>
    <w:rsid w:val="00BA73FC"/>
    <w:rsid w:val="00BB219C"/>
    <w:rsid w:val="00BB331D"/>
    <w:rsid w:val="00BB4A3E"/>
    <w:rsid w:val="00BB5213"/>
    <w:rsid w:val="00BB533E"/>
    <w:rsid w:val="00BB60A6"/>
    <w:rsid w:val="00BB6708"/>
    <w:rsid w:val="00BB68AE"/>
    <w:rsid w:val="00BB7B63"/>
    <w:rsid w:val="00BC06F0"/>
    <w:rsid w:val="00BC1534"/>
    <w:rsid w:val="00BC27EE"/>
    <w:rsid w:val="00BC7747"/>
    <w:rsid w:val="00BD056C"/>
    <w:rsid w:val="00BD0BEA"/>
    <w:rsid w:val="00BD128A"/>
    <w:rsid w:val="00BD1A94"/>
    <w:rsid w:val="00BD4912"/>
    <w:rsid w:val="00BD5422"/>
    <w:rsid w:val="00BD5A83"/>
    <w:rsid w:val="00BD5AEB"/>
    <w:rsid w:val="00BD6974"/>
    <w:rsid w:val="00BE01E1"/>
    <w:rsid w:val="00BE2B79"/>
    <w:rsid w:val="00BE43F2"/>
    <w:rsid w:val="00BE5F91"/>
    <w:rsid w:val="00BE7A34"/>
    <w:rsid w:val="00BF0699"/>
    <w:rsid w:val="00BF07BE"/>
    <w:rsid w:val="00BF2984"/>
    <w:rsid w:val="00BF436B"/>
    <w:rsid w:val="00BF4AE8"/>
    <w:rsid w:val="00BF654A"/>
    <w:rsid w:val="00BF6E50"/>
    <w:rsid w:val="00C00570"/>
    <w:rsid w:val="00C00A07"/>
    <w:rsid w:val="00C00C27"/>
    <w:rsid w:val="00C01DA2"/>
    <w:rsid w:val="00C02532"/>
    <w:rsid w:val="00C02868"/>
    <w:rsid w:val="00C074A3"/>
    <w:rsid w:val="00C07B3E"/>
    <w:rsid w:val="00C1076C"/>
    <w:rsid w:val="00C10EE5"/>
    <w:rsid w:val="00C111F0"/>
    <w:rsid w:val="00C13B96"/>
    <w:rsid w:val="00C16A22"/>
    <w:rsid w:val="00C1761D"/>
    <w:rsid w:val="00C17AFD"/>
    <w:rsid w:val="00C17CB5"/>
    <w:rsid w:val="00C21436"/>
    <w:rsid w:val="00C21C53"/>
    <w:rsid w:val="00C2212C"/>
    <w:rsid w:val="00C2292D"/>
    <w:rsid w:val="00C2334F"/>
    <w:rsid w:val="00C23B7B"/>
    <w:rsid w:val="00C247AC"/>
    <w:rsid w:val="00C248D4"/>
    <w:rsid w:val="00C24FAA"/>
    <w:rsid w:val="00C30A20"/>
    <w:rsid w:val="00C33B44"/>
    <w:rsid w:val="00C33FE6"/>
    <w:rsid w:val="00C3742A"/>
    <w:rsid w:val="00C4113B"/>
    <w:rsid w:val="00C4200D"/>
    <w:rsid w:val="00C46665"/>
    <w:rsid w:val="00C474FD"/>
    <w:rsid w:val="00C5245D"/>
    <w:rsid w:val="00C5435B"/>
    <w:rsid w:val="00C54D77"/>
    <w:rsid w:val="00C57D83"/>
    <w:rsid w:val="00C60368"/>
    <w:rsid w:val="00C629AE"/>
    <w:rsid w:val="00C62F56"/>
    <w:rsid w:val="00C65666"/>
    <w:rsid w:val="00C67913"/>
    <w:rsid w:val="00C67CD7"/>
    <w:rsid w:val="00C70389"/>
    <w:rsid w:val="00C70B92"/>
    <w:rsid w:val="00C72CBD"/>
    <w:rsid w:val="00C72FC2"/>
    <w:rsid w:val="00C74B13"/>
    <w:rsid w:val="00C74FFA"/>
    <w:rsid w:val="00C7564A"/>
    <w:rsid w:val="00C764E7"/>
    <w:rsid w:val="00C77041"/>
    <w:rsid w:val="00C77DFF"/>
    <w:rsid w:val="00C825E9"/>
    <w:rsid w:val="00C82DB7"/>
    <w:rsid w:val="00C83322"/>
    <w:rsid w:val="00C833C0"/>
    <w:rsid w:val="00C84041"/>
    <w:rsid w:val="00C845A1"/>
    <w:rsid w:val="00C84961"/>
    <w:rsid w:val="00C8545A"/>
    <w:rsid w:val="00C87733"/>
    <w:rsid w:val="00C9034B"/>
    <w:rsid w:val="00C9175B"/>
    <w:rsid w:val="00C93DF3"/>
    <w:rsid w:val="00C954C3"/>
    <w:rsid w:val="00C97505"/>
    <w:rsid w:val="00C97D79"/>
    <w:rsid w:val="00CA19D2"/>
    <w:rsid w:val="00CA1CC3"/>
    <w:rsid w:val="00CA329E"/>
    <w:rsid w:val="00CA3481"/>
    <w:rsid w:val="00CA3A0B"/>
    <w:rsid w:val="00CA41E3"/>
    <w:rsid w:val="00CA4AC9"/>
    <w:rsid w:val="00CA72C2"/>
    <w:rsid w:val="00CA7850"/>
    <w:rsid w:val="00CB14A0"/>
    <w:rsid w:val="00CB19F4"/>
    <w:rsid w:val="00CB1D9E"/>
    <w:rsid w:val="00CB2243"/>
    <w:rsid w:val="00CB279C"/>
    <w:rsid w:val="00CB44C4"/>
    <w:rsid w:val="00CB4DA5"/>
    <w:rsid w:val="00CB5EFF"/>
    <w:rsid w:val="00CB78E7"/>
    <w:rsid w:val="00CC2C66"/>
    <w:rsid w:val="00CC44ED"/>
    <w:rsid w:val="00CC48D2"/>
    <w:rsid w:val="00CC6EA0"/>
    <w:rsid w:val="00CC761E"/>
    <w:rsid w:val="00CD0FE2"/>
    <w:rsid w:val="00CD0FF8"/>
    <w:rsid w:val="00CD16A4"/>
    <w:rsid w:val="00CD27D5"/>
    <w:rsid w:val="00CD3291"/>
    <w:rsid w:val="00CD49B6"/>
    <w:rsid w:val="00CD694D"/>
    <w:rsid w:val="00CE020A"/>
    <w:rsid w:val="00CE2AF6"/>
    <w:rsid w:val="00CE46B4"/>
    <w:rsid w:val="00CE5180"/>
    <w:rsid w:val="00CE599A"/>
    <w:rsid w:val="00CE6103"/>
    <w:rsid w:val="00CF0396"/>
    <w:rsid w:val="00CF11C5"/>
    <w:rsid w:val="00CF17A7"/>
    <w:rsid w:val="00CF4383"/>
    <w:rsid w:val="00CF4D7E"/>
    <w:rsid w:val="00CF66B9"/>
    <w:rsid w:val="00D0029A"/>
    <w:rsid w:val="00D005D7"/>
    <w:rsid w:val="00D01416"/>
    <w:rsid w:val="00D02778"/>
    <w:rsid w:val="00D027FC"/>
    <w:rsid w:val="00D037D3"/>
    <w:rsid w:val="00D0501D"/>
    <w:rsid w:val="00D05DA1"/>
    <w:rsid w:val="00D05EA1"/>
    <w:rsid w:val="00D11622"/>
    <w:rsid w:val="00D129C7"/>
    <w:rsid w:val="00D165D2"/>
    <w:rsid w:val="00D16AFA"/>
    <w:rsid w:val="00D208D7"/>
    <w:rsid w:val="00D23B77"/>
    <w:rsid w:val="00D25313"/>
    <w:rsid w:val="00D25331"/>
    <w:rsid w:val="00D2643E"/>
    <w:rsid w:val="00D266E9"/>
    <w:rsid w:val="00D2695F"/>
    <w:rsid w:val="00D27AB0"/>
    <w:rsid w:val="00D334B9"/>
    <w:rsid w:val="00D33A78"/>
    <w:rsid w:val="00D34710"/>
    <w:rsid w:val="00D34DAC"/>
    <w:rsid w:val="00D36DB3"/>
    <w:rsid w:val="00D40447"/>
    <w:rsid w:val="00D41E02"/>
    <w:rsid w:val="00D42113"/>
    <w:rsid w:val="00D43575"/>
    <w:rsid w:val="00D43FD2"/>
    <w:rsid w:val="00D4463E"/>
    <w:rsid w:val="00D446C6"/>
    <w:rsid w:val="00D50419"/>
    <w:rsid w:val="00D52771"/>
    <w:rsid w:val="00D53365"/>
    <w:rsid w:val="00D53DF1"/>
    <w:rsid w:val="00D5410A"/>
    <w:rsid w:val="00D5458E"/>
    <w:rsid w:val="00D557E2"/>
    <w:rsid w:val="00D5608E"/>
    <w:rsid w:val="00D57185"/>
    <w:rsid w:val="00D576D6"/>
    <w:rsid w:val="00D57E5C"/>
    <w:rsid w:val="00D62CB7"/>
    <w:rsid w:val="00D638C8"/>
    <w:rsid w:val="00D64112"/>
    <w:rsid w:val="00D656E0"/>
    <w:rsid w:val="00D66FA0"/>
    <w:rsid w:val="00D6787C"/>
    <w:rsid w:val="00D702CD"/>
    <w:rsid w:val="00D70F79"/>
    <w:rsid w:val="00D71815"/>
    <w:rsid w:val="00D7211E"/>
    <w:rsid w:val="00D72524"/>
    <w:rsid w:val="00D75B72"/>
    <w:rsid w:val="00D76039"/>
    <w:rsid w:val="00D76617"/>
    <w:rsid w:val="00D77FA1"/>
    <w:rsid w:val="00D8062D"/>
    <w:rsid w:val="00D80E5E"/>
    <w:rsid w:val="00D830CB"/>
    <w:rsid w:val="00D91DF9"/>
    <w:rsid w:val="00D95669"/>
    <w:rsid w:val="00D97C0B"/>
    <w:rsid w:val="00DA11CC"/>
    <w:rsid w:val="00DA174B"/>
    <w:rsid w:val="00DA260E"/>
    <w:rsid w:val="00DA2A3F"/>
    <w:rsid w:val="00DA2C0B"/>
    <w:rsid w:val="00DA43A7"/>
    <w:rsid w:val="00DA62CE"/>
    <w:rsid w:val="00DA796E"/>
    <w:rsid w:val="00DB06E5"/>
    <w:rsid w:val="00DB1203"/>
    <w:rsid w:val="00DB1871"/>
    <w:rsid w:val="00DB2C1B"/>
    <w:rsid w:val="00DB2D40"/>
    <w:rsid w:val="00DB377C"/>
    <w:rsid w:val="00DB4B71"/>
    <w:rsid w:val="00DB69D8"/>
    <w:rsid w:val="00DB73F9"/>
    <w:rsid w:val="00DC09DE"/>
    <w:rsid w:val="00DC3049"/>
    <w:rsid w:val="00DC559F"/>
    <w:rsid w:val="00DD05B3"/>
    <w:rsid w:val="00DD2AF0"/>
    <w:rsid w:val="00DD38C4"/>
    <w:rsid w:val="00DD50D0"/>
    <w:rsid w:val="00DD7900"/>
    <w:rsid w:val="00DE0831"/>
    <w:rsid w:val="00DE0B3E"/>
    <w:rsid w:val="00DE1068"/>
    <w:rsid w:val="00DE1604"/>
    <w:rsid w:val="00DE2013"/>
    <w:rsid w:val="00DE3B64"/>
    <w:rsid w:val="00DE7823"/>
    <w:rsid w:val="00DF0607"/>
    <w:rsid w:val="00DF0706"/>
    <w:rsid w:val="00DF2874"/>
    <w:rsid w:val="00DF4E3E"/>
    <w:rsid w:val="00DF4F8C"/>
    <w:rsid w:val="00DF5297"/>
    <w:rsid w:val="00DF638F"/>
    <w:rsid w:val="00DF6476"/>
    <w:rsid w:val="00DF66CC"/>
    <w:rsid w:val="00DF74DE"/>
    <w:rsid w:val="00DF793F"/>
    <w:rsid w:val="00E00397"/>
    <w:rsid w:val="00E003B0"/>
    <w:rsid w:val="00E03305"/>
    <w:rsid w:val="00E07808"/>
    <w:rsid w:val="00E11E5B"/>
    <w:rsid w:val="00E1224A"/>
    <w:rsid w:val="00E136CF"/>
    <w:rsid w:val="00E1452C"/>
    <w:rsid w:val="00E15780"/>
    <w:rsid w:val="00E15E43"/>
    <w:rsid w:val="00E2070B"/>
    <w:rsid w:val="00E24C1F"/>
    <w:rsid w:val="00E26457"/>
    <w:rsid w:val="00E264BA"/>
    <w:rsid w:val="00E268A4"/>
    <w:rsid w:val="00E308AE"/>
    <w:rsid w:val="00E319BB"/>
    <w:rsid w:val="00E34591"/>
    <w:rsid w:val="00E405C9"/>
    <w:rsid w:val="00E44376"/>
    <w:rsid w:val="00E446B9"/>
    <w:rsid w:val="00E4471B"/>
    <w:rsid w:val="00E4751E"/>
    <w:rsid w:val="00E47D47"/>
    <w:rsid w:val="00E5147E"/>
    <w:rsid w:val="00E521FE"/>
    <w:rsid w:val="00E54474"/>
    <w:rsid w:val="00E54537"/>
    <w:rsid w:val="00E54C98"/>
    <w:rsid w:val="00E54D78"/>
    <w:rsid w:val="00E558CE"/>
    <w:rsid w:val="00E57C04"/>
    <w:rsid w:val="00E61029"/>
    <w:rsid w:val="00E6225D"/>
    <w:rsid w:val="00E62DD3"/>
    <w:rsid w:val="00E65581"/>
    <w:rsid w:val="00E65D35"/>
    <w:rsid w:val="00E66352"/>
    <w:rsid w:val="00E66E9D"/>
    <w:rsid w:val="00E708D3"/>
    <w:rsid w:val="00E728F3"/>
    <w:rsid w:val="00E7526B"/>
    <w:rsid w:val="00E75447"/>
    <w:rsid w:val="00E76081"/>
    <w:rsid w:val="00E808F4"/>
    <w:rsid w:val="00E822F6"/>
    <w:rsid w:val="00E83594"/>
    <w:rsid w:val="00E83A8A"/>
    <w:rsid w:val="00E83C50"/>
    <w:rsid w:val="00E84F84"/>
    <w:rsid w:val="00E92A4C"/>
    <w:rsid w:val="00E94C60"/>
    <w:rsid w:val="00E9573E"/>
    <w:rsid w:val="00E95A7B"/>
    <w:rsid w:val="00E9605B"/>
    <w:rsid w:val="00E96B83"/>
    <w:rsid w:val="00E96CAF"/>
    <w:rsid w:val="00E96D8E"/>
    <w:rsid w:val="00E97CF1"/>
    <w:rsid w:val="00EA0518"/>
    <w:rsid w:val="00EA3E2C"/>
    <w:rsid w:val="00EA5453"/>
    <w:rsid w:val="00EA5875"/>
    <w:rsid w:val="00EB022D"/>
    <w:rsid w:val="00EB0ABA"/>
    <w:rsid w:val="00EB38B9"/>
    <w:rsid w:val="00EB3E9A"/>
    <w:rsid w:val="00EB5B2F"/>
    <w:rsid w:val="00EB60ED"/>
    <w:rsid w:val="00EB647D"/>
    <w:rsid w:val="00EB7445"/>
    <w:rsid w:val="00EC0240"/>
    <w:rsid w:val="00EC14E4"/>
    <w:rsid w:val="00EC2CB1"/>
    <w:rsid w:val="00EC35ED"/>
    <w:rsid w:val="00EC4647"/>
    <w:rsid w:val="00EC4D12"/>
    <w:rsid w:val="00EC5B81"/>
    <w:rsid w:val="00EC7208"/>
    <w:rsid w:val="00EC7B4D"/>
    <w:rsid w:val="00ED2089"/>
    <w:rsid w:val="00ED40A8"/>
    <w:rsid w:val="00ED66D2"/>
    <w:rsid w:val="00ED77C1"/>
    <w:rsid w:val="00EE108E"/>
    <w:rsid w:val="00EE1099"/>
    <w:rsid w:val="00EE3461"/>
    <w:rsid w:val="00EE347D"/>
    <w:rsid w:val="00EE37C1"/>
    <w:rsid w:val="00EE6A8A"/>
    <w:rsid w:val="00EF0121"/>
    <w:rsid w:val="00EF06F6"/>
    <w:rsid w:val="00EF094C"/>
    <w:rsid w:val="00EF09C6"/>
    <w:rsid w:val="00EF2DE6"/>
    <w:rsid w:val="00EF3236"/>
    <w:rsid w:val="00EF5395"/>
    <w:rsid w:val="00EF5779"/>
    <w:rsid w:val="00EF58AB"/>
    <w:rsid w:val="00EF680F"/>
    <w:rsid w:val="00EF6E0F"/>
    <w:rsid w:val="00F002AD"/>
    <w:rsid w:val="00F0297F"/>
    <w:rsid w:val="00F03862"/>
    <w:rsid w:val="00F038D1"/>
    <w:rsid w:val="00F03A38"/>
    <w:rsid w:val="00F04BB5"/>
    <w:rsid w:val="00F068A9"/>
    <w:rsid w:val="00F06F0C"/>
    <w:rsid w:val="00F07241"/>
    <w:rsid w:val="00F116C2"/>
    <w:rsid w:val="00F13BF2"/>
    <w:rsid w:val="00F14649"/>
    <w:rsid w:val="00F14F4E"/>
    <w:rsid w:val="00F15292"/>
    <w:rsid w:val="00F15F24"/>
    <w:rsid w:val="00F17D36"/>
    <w:rsid w:val="00F203B7"/>
    <w:rsid w:val="00F220C4"/>
    <w:rsid w:val="00F2295C"/>
    <w:rsid w:val="00F2398E"/>
    <w:rsid w:val="00F24514"/>
    <w:rsid w:val="00F2505D"/>
    <w:rsid w:val="00F25A05"/>
    <w:rsid w:val="00F25F75"/>
    <w:rsid w:val="00F32894"/>
    <w:rsid w:val="00F33871"/>
    <w:rsid w:val="00F34E5B"/>
    <w:rsid w:val="00F35332"/>
    <w:rsid w:val="00F36331"/>
    <w:rsid w:val="00F36586"/>
    <w:rsid w:val="00F41FD8"/>
    <w:rsid w:val="00F427A2"/>
    <w:rsid w:val="00F44245"/>
    <w:rsid w:val="00F45928"/>
    <w:rsid w:val="00F52F05"/>
    <w:rsid w:val="00F53288"/>
    <w:rsid w:val="00F56379"/>
    <w:rsid w:val="00F569A6"/>
    <w:rsid w:val="00F56E7D"/>
    <w:rsid w:val="00F575BF"/>
    <w:rsid w:val="00F5766E"/>
    <w:rsid w:val="00F57F69"/>
    <w:rsid w:val="00F6196C"/>
    <w:rsid w:val="00F63248"/>
    <w:rsid w:val="00F63371"/>
    <w:rsid w:val="00F636B1"/>
    <w:rsid w:val="00F63EF1"/>
    <w:rsid w:val="00F64862"/>
    <w:rsid w:val="00F660B1"/>
    <w:rsid w:val="00F66283"/>
    <w:rsid w:val="00F66733"/>
    <w:rsid w:val="00F66EF0"/>
    <w:rsid w:val="00F71B15"/>
    <w:rsid w:val="00F76224"/>
    <w:rsid w:val="00F76545"/>
    <w:rsid w:val="00F76C3E"/>
    <w:rsid w:val="00F771DA"/>
    <w:rsid w:val="00F77895"/>
    <w:rsid w:val="00F77D1A"/>
    <w:rsid w:val="00F8050E"/>
    <w:rsid w:val="00F8057E"/>
    <w:rsid w:val="00F8099E"/>
    <w:rsid w:val="00F8329C"/>
    <w:rsid w:val="00F840A3"/>
    <w:rsid w:val="00F87C2E"/>
    <w:rsid w:val="00F906A8"/>
    <w:rsid w:val="00F91A66"/>
    <w:rsid w:val="00F932E4"/>
    <w:rsid w:val="00F93E41"/>
    <w:rsid w:val="00F94C28"/>
    <w:rsid w:val="00F964E2"/>
    <w:rsid w:val="00FA0D3E"/>
    <w:rsid w:val="00FA2075"/>
    <w:rsid w:val="00FA21A1"/>
    <w:rsid w:val="00FA3201"/>
    <w:rsid w:val="00FA634F"/>
    <w:rsid w:val="00FA65EC"/>
    <w:rsid w:val="00FA6C1B"/>
    <w:rsid w:val="00FB05C4"/>
    <w:rsid w:val="00FB0770"/>
    <w:rsid w:val="00FB1A88"/>
    <w:rsid w:val="00FB1C60"/>
    <w:rsid w:val="00FB1D35"/>
    <w:rsid w:val="00FB2566"/>
    <w:rsid w:val="00FB29D8"/>
    <w:rsid w:val="00FB2E07"/>
    <w:rsid w:val="00FB77CA"/>
    <w:rsid w:val="00FB7BEE"/>
    <w:rsid w:val="00FC1234"/>
    <w:rsid w:val="00FC1F53"/>
    <w:rsid w:val="00FC2255"/>
    <w:rsid w:val="00FC3AF4"/>
    <w:rsid w:val="00FC456E"/>
    <w:rsid w:val="00FC7880"/>
    <w:rsid w:val="00FD0FE0"/>
    <w:rsid w:val="00FD3BE2"/>
    <w:rsid w:val="00FD4E71"/>
    <w:rsid w:val="00FD7003"/>
    <w:rsid w:val="00FD7FEE"/>
    <w:rsid w:val="00FE0228"/>
    <w:rsid w:val="00FE0FB9"/>
    <w:rsid w:val="00FE17AD"/>
    <w:rsid w:val="00FE2376"/>
    <w:rsid w:val="00FE2ABC"/>
    <w:rsid w:val="00FE4636"/>
    <w:rsid w:val="00FE5A85"/>
    <w:rsid w:val="00FE68C7"/>
    <w:rsid w:val="00FE7364"/>
    <w:rsid w:val="00FE7A4B"/>
    <w:rsid w:val="00FF08C2"/>
    <w:rsid w:val="00FF09CE"/>
    <w:rsid w:val="00FF1B65"/>
    <w:rsid w:val="00FF5693"/>
    <w:rsid w:val="00FF5EB9"/>
    <w:rsid w:val="00FF67A4"/>
    <w:rsid w:val="00FF7260"/>
    <w:rsid w:val="00FF75E5"/>
    <w:rsid w:val="03091319"/>
    <w:rsid w:val="18627B4C"/>
    <w:rsid w:val="3AEEA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C960E"/>
  <w15:chartTrackingRefBased/>
  <w15:docId w15:val="{0279FA1E-0B04-4F64-90B7-7BEB659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F9"/>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8D53F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D53F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D53F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D53F9"/>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8D53F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D53F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D53F9"/>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D53F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A3D5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8D53F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D53F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D53F9"/>
    <w:rPr>
      <w:rFonts w:ascii="Palatino Linotype" w:hAnsi="Palatino Linotype"/>
      <w:noProof/>
      <w:color w:val="000000"/>
      <w:szCs w:val="18"/>
    </w:rPr>
  </w:style>
  <w:style w:type="paragraph" w:styleId="Header">
    <w:name w:val="header"/>
    <w:basedOn w:val="Normal"/>
    <w:link w:val="HeaderChar"/>
    <w:uiPriority w:val="99"/>
    <w:rsid w:val="008D53F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D53F9"/>
    <w:rPr>
      <w:rFonts w:ascii="Palatino Linotype" w:hAnsi="Palatino Linotype"/>
      <w:noProof/>
      <w:color w:val="000000"/>
      <w:szCs w:val="18"/>
    </w:rPr>
  </w:style>
  <w:style w:type="paragraph" w:customStyle="1" w:styleId="MDPIheaderjournallogo">
    <w:name w:val="MDPI_header_journal_logo"/>
    <w:qFormat/>
    <w:rsid w:val="008D53F9"/>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D53F9"/>
    <w:pPr>
      <w:ind w:firstLine="0"/>
    </w:pPr>
  </w:style>
  <w:style w:type="paragraph" w:customStyle="1" w:styleId="MDPI31text">
    <w:name w:val="MDPI_3.1_text"/>
    <w:link w:val="MDPI31textChar"/>
    <w:qFormat/>
    <w:rsid w:val="009E376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D53F9"/>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D53F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D53F9"/>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B71393"/>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B71393"/>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D53F9"/>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D53F9"/>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D53F9"/>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45C5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D53F9"/>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D53F9"/>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D53F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link w:val="MDPI23heading3Char"/>
    <w:qFormat/>
    <w:rsid w:val="0085586B"/>
    <w:pPr>
      <w:keepNext/>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5586B"/>
    <w:pPr>
      <w:keepNext/>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5586B"/>
    <w:pPr>
      <w:keepNext/>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CC6EA0"/>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D53F9"/>
    <w:rPr>
      <w:rFonts w:cs="Tahoma"/>
      <w:szCs w:val="18"/>
    </w:rPr>
  </w:style>
  <w:style w:type="character" w:customStyle="1" w:styleId="BalloonTextChar">
    <w:name w:val="Balloon Text Char"/>
    <w:link w:val="BalloonText"/>
    <w:uiPriority w:val="99"/>
    <w:rsid w:val="008D53F9"/>
    <w:rPr>
      <w:rFonts w:ascii="Palatino Linotype" w:hAnsi="Palatino Linotype" w:cs="Tahoma"/>
      <w:noProof/>
      <w:color w:val="000000"/>
      <w:szCs w:val="18"/>
    </w:rPr>
  </w:style>
  <w:style w:type="character" w:styleId="LineNumber">
    <w:name w:val="line number"/>
    <w:uiPriority w:val="99"/>
    <w:rsid w:val="007337CD"/>
    <w:rPr>
      <w:rFonts w:ascii="Palatino Linotype" w:hAnsi="Palatino Linotype"/>
      <w:sz w:val="16"/>
    </w:rPr>
  </w:style>
  <w:style w:type="table" w:customStyle="1" w:styleId="MDPI41threelinetable">
    <w:name w:val="MDPI_4.1_three_line_table"/>
    <w:basedOn w:val="TableNormal"/>
    <w:uiPriority w:val="99"/>
    <w:rsid w:val="008D53F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D53F9"/>
    <w:rPr>
      <w:color w:val="0000FF"/>
      <w:u w:val="single"/>
    </w:rPr>
  </w:style>
  <w:style w:type="character" w:styleId="UnresolvedMention">
    <w:name w:val="Unresolved Mention"/>
    <w:uiPriority w:val="99"/>
    <w:semiHidden/>
    <w:unhideWhenUsed/>
    <w:rsid w:val="00612E50"/>
    <w:rPr>
      <w:color w:val="605E5C"/>
      <w:shd w:val="clear" w:color="auto" w:fill="E1DFDD"/>
    </w:rPr>
  </w:style>
  <w:style w:type="table" w:styleId="PlainTable4">
    <w:name w:val="Plain Table 4"/>
    <w:basedOn w:val="TableNormal"/>
    <w:uiPriority w:val="44"/>
    <w:rsid w:val="009661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8D53F9"/>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8D53F9"/>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D53F9"/>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8D53F9"/>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D53F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D53F9"/>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13BF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D53F9"/>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D53F9"/>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D53F9"/>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94C60"/>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8D53F9"/>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D53F9"/>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D53F9"/>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8D53F9"/>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8D53F9"/>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D53F9"/>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D53F9"/>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8D53F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D53F9"/>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D53F9"/>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D53F9"/>
  </w:style>
  <w:style w:type="paragraph" w:styleId="Bibliography">
    <w:name w:val="Bibliography"/>
    <w:basedOn w:val="Normal"/>
    <w:next w:val="Normal"/>
    <w:uiPriority w:val="37"/>
    <w:semiHidden/>
    <w:unhideWhenUsed/>
    <w:rsid w:val="008D53F9"/>
  </w:style>
  <w:style w:type="paragraph" w:styleId="BodyText">
    <w:name w:val="Body Text"/>
    <w:link w:val="BodyTextChar"/>
    <w:rsid w:val="008D53F9"/>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D53F9"/>
    <w:rPr>
      <w:rFonts w:ascii="Palatino Linotype" w:hAnsi="Palatino Linotype"/>
      <w:color w:val="000000"/>
      <w:sz w:val="24"/>
      <w:lang w:eastAsia="de-DE"/>
    </w:rPr>
  </w:style>
  <w:style w:type="character" w:styleId="CommentReference">
    <w:name w:val="annotation reference"/>
    <w:uiPriority w:val="99"/>
    <w:rsid w:val="008D53F9"/>
    <w:rPr>
      <w:sz w:val="21"/>
      <w:szCs w:val="21"/>
    </w:rPr>
  </w:style>
  <w:style w:type="paragraph" w:styleId="CommentText">
    <w:name w:val="annotation text"/>
    <w:basedOn w:val="Normal"/>
    <w:link w:val="CommentTextChar"/>
    <w:uiPriority w:val="99"/>
    <w:rsid w:val="008D53F9"/>
  </w:style>
  <w:style w:type="character" w:customStyle="1" w:styleId="CommentTextChar">
    <w:name w:val="Comment Text Char"/>
    <w:link w:val="CommentText"/>
    <w:uiPriority w:val="99"/>
    <w:rsid w:val="008D53F9"/>
    <w:rPr>
      <w:rFonts w:ascii="Palatino Linotype" w:hAnsi="Palatino Linotype"/>
      <w:noProof/>
      <w:color w:val="000000"/>
    </w:rPr>
  </w:style>
  <w:style w:type="paragraph" w:styleId="CommentSubject">
    <w:name w:val="annotation subject"/>
    <w:basedOn w:val="CommentText"/>
    <w:next w:val="CommentText"/>
    <w:link w:val="CommentSubjectChar"/>
    <w:rsid w:val="008D53F9"/>
    <w:rPr>
      <w:b/>
      <w:bCs/>
    </w:rPr>
  </w:style>
  <w:style w:type="character" w:customStyle="1" w:styleId="CommentSubjectChar">
    <w:name w:val="Comment Subject Char"/>
    <w:link w:val="CommentSubject"/>
    <w:rsid w:val="008D53F9"/>
    <w:rPr>
      <w:rFonts w:ascii="Palatino Linotype" w:hAnsi="Palatino Linotype"/>
      <w:b/>
      <w:bCs/>
      <w:noProof/>
      <w:color w:val="000000"/>
    </w:rPr>
  </w:style>
  <w:style w:type="character" w:styleId="EndnoteReference">
    <w:name w:val="endnote reference"/>
    <w:rsid w:val="008D53F9"/>
    <w:rPr>
      <w:vertAlign w:val="superscript"/>
    </w:rPr>
  </w:style>
  <w:style w:type="paragraph" w:styleId="EndnoteText">
    <w:name w:val="endnote text"/>
    <w:basedOn w:val="Normal"/>
    <w:link w:val="EndnoteTextChar"/>
    <w:semiHidden/>
    <w:unhideWhenUsed/>
    <w:rsid w:val="008D53F9"/>
    <w:pPr>
      <w:spacing w:line="240" w:lineRule="auto"/>
    </w:pPr>
  </w:style>
  <w:style w:type="character" w:customStyle="1" w:styleId="EndnoteTextChar">
    <w:name w:val="Endnote Text Char"/>
    <w:link w:val="EndnoteText"/>
    <w:semiHidden/>
    <w:rsid w:val="008D53F9"/>
    <w:rPr>
      <w:rFonts w:ascii="Palatino Linotype" w:hAnsi="Palatino Linotype"/>
      <w:noProof/>
      <w:color w:val="000000"/>
    </w:rPr>
  </w:style>
  <w:style w:type="character" w:styleId="FollowedHyperlink">
    <w:name w:val="FollowedHyperlink"/>
    <w:rsid w:val="008D53F9"/>
    <w:rPr>
      <w:color w:val="954F72"/>
      <w:u w:val="single"/>
    </w:rPr>
  </w:style>
  <w:style w:type="paragraph" w:styleId="FootnoteText">
    <w:name w:val="footnote text"/>
    <w:basedOn w:val="Normal"/>
    <w:link w:val="FootnoteTextChar"/>
    <w:semiHidden/>
    <w:unhideWhenUsed/>
    <w:rsid w:val="008D53F9"/>
    <w:pPr>
      <w:spacing w:line="240" w:lineRule="auto"/>
    </w:pPr>
  </w:style>
  <w:style w:type="character" w:customStyle="1" w:styleId="FootnoteTextChar">
    <w:name w:val="Footnote Text Char"/>
    <w:link w:val="FootnoteText"/>
    <w:semiHidden/>
    <w:rsid w:val="008D53F9"/>
    <w:rPr>
      <w:rFonts w:ascii="Palatino Linotype" w:hAnsi="Palatino Linotype"/>
      <w:noProof/>
      <w:color w:val="000000"/>
    </w:rPr>
  </w:style>
  <w:style w:type="paragraph" w:styleId="NormalWeb">
    <w:name w:val="Normal (Web)"/>
    <w:basedOn w:val="Normal"/>
    <w:uiPriority w:val="99"/>
    <w:rsid w:val="008D53F9"/>
    <w:rPr>
      <w:szCs w:val="24"/>
    </w:rPr>
  </w:style>
  <w:style w:type="paragraph" w:customStyle="1" w:styleId="MsoFootnoteText0">
    <w:name w:val="MsoFootnoteText"/>
    <w:basedOn w:val="NormalWeb"/>
    <w:qFormat/>
    <w:rsid w:val="008D53F9"/>
    <w:rPr>
      <w:rFonts w:ascii="Times New Roman" w:hAnsi="Times New Roman"/>
    </w:rPr>
  </w:style>
  <w:style w:type="character" w:styleId="PageNumber">
    <w:name w:val="page number"/>
    <w:rsid w:val="008D53F9"/>
  </w:style>
  <w:style w:type="character" w:styleId="PlaceholderText">
    <w:name w:val="Placeholder Text"/>
    <w:uiPriority w:val="99"/>
    <w:semiHidden/>
    <w:rsid w:val="008D53F9"/>
    <w:rPr>
      <w:color w:val="808080"/>
    </w:rPr>
  </w:style>
  <w:style w:type="paragraph" w:customStyle="1" w:styleId="MDPI71FootNotes">
    <w:name w:val="MDPI_7.1_FootNotes"/>
    <w:qFormat/>
    <w:rsid w:val="00585396"/>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EndNoteBibliographyTitle">
    <w:name w:val="EndNote Bibliography Title"/>
    <w:basedOn w:val="Normal"/>
    <w:link w:val="EndNoteBibliographyTitleChar"/>
    <w:rsid w:val="00C5435B"/>
    <w:pPr>
      <w:jc w:val="center"/>
    </w:pPr>
    <w:rPr>
      <w:sz w:val="18"/>
    </w:rPr>
  </w:style>
  <w:style w:type="character" w:customStyle="1" w:styleId="MDPI31textChar">
    <w:name w:val="MDPI_3.1_text Char"/>
    <w:basedOn w:val="DefaultParagraphFont"/>
    <w:link w:val="MDPI31text"/>
    <w:rsid w:val="00C5435B"/>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basedOn w:val="MDPI31textChar"/>
    <w:link w:val="EndNoteBibliographyTitle"/>
    <w:rsid w:val="00C5435B"/>
    <w:rPr>
      <w:rFonts w:ascii="Palatino Linotype" w:eastAsia="Times New Roman" w:hAnsi="Palatino Linotype"/>
      <w:snapToGrid/>
      <w:color w:val="000000"/>
      <w:sz w:val="18"/>
      <w:szCs w:val="22"/>
      <w:lang w:eastAsia="de-DE" w:bidi="en-US"/>
    </w:rPr>
  </w:style>
  <w:style w:type="paragraph" w:customStyle="1" w:styleId="EndNoteBibliography">
    <w:name w:val="EndNote Bibliography"/>
    <w:basedOn w:val="Normal"/>
    <w:link w:val="EndNoteBibliographyChar"/>
    <w:rsid w:val="00C5435B"/>
    <w:pPr>
      <w:spacing w:line="240" w:lineRule="atLeast"/>
    </w:pPr>
    <w:rPr>
      <w:sz w:val="18"/>
    </w:rPr>
  </w:style>
  <w:style w:type="character" w:customStyle="1" w:styleId="EndNoteBibliographyChar">
    <w:name w:val="EndNote Bibliography Char"/>
    <w:basedOn w:val="MDPI31textChar"/>
    <w:link w:val="EndNoteBibliography"/>
    <w:rsid w:val="00C5435B"/>
    <w:rPr>
      <w:rFonts w:ascii="Palatino Linotype" w:eastAsia="Times New Roman" w:hAnsi="Palatino Linotype"/>
      <w:snapToGrid/>
      <w:color w:val="000000"/>
      <w:sz w:val="18"/>
      <w:szCs w:val="22"/>
      <w:lang w:eastAsia="de-DE" w:bidi="en-US"/>
    </w:rPr>
  </w:style>
  <w:style w:type="paragraph" w:styleId="ListParagraph">
    <w:name w:val="List Paragraph"/>
    <w:basedOn w:val="Normal"/>
    <w:uiPriority w:val="34"/>
    <w:qFormat/>
    <w:rsid w:val="000B1F27"/>
    <w:pPr>
      <w:spacing w:line="240" w:lineRule="auto"/>
      <w:ind w:left="720"/>
      <w:contextualSpacing/>
      <w:jc w:val="left"/>
    </w:pPr>
    <w:rPr>
      <w:rFonts w:ascii="Times New Roman" w:eastAsia="Times New Roman" w:hAnsi="Times New Roman"/>
      <w:color w:val="auto"/>
      <w:sz w:val="24"/>
      <w:szCs w:val="24"/>
      <w:lang w:val="en-GB" w:eastAsia="en-GB"/>
    </w:rPr>
  </w:style>
  <w:style w:type="paragraph" w:styleId="Revision">
    <w:name w:val="Revision"/>
    <w:hidden/>
    <w:uiPriority w:val="99"/>
    <w:semiHidden/>
    <w:rsid w:val="00F03862"/>
    <w:rPr>
      <w:rFonts w:ascii="Palatino Linotype" w:hAnsi="Palatino Linotype"/>
      <w:color w:val="000000"/>
    </w:rPr>
  </w:style>
  <w:style w:type="paragraph" w:styleId="Caption">
    <w:name w:val="caption"/>
    <w:basedOn w:val="Normal"/>
    <w:next w:val="Normal"/>
    <w:uiPriority w:val="35"/>
    <w:unhideWhenUsed/>
    <w:qFormat/>
    <w:rsid w:val="00931A91"/>
    <w:pPr>
      <w:spacing w:after="200" w:line="240" w:lineRule="auto"/>
    </w:pPr>
    <w:rPr>
      <w:i/>
      <w:iCs/>
      <w:color w:val="44546A" w:themeColor="text2"/>
      <w:sz w:val="18"/>
      <w:szCs w:val="18"/>
    </w:rPr>
  </w:style>
  <w:style w:type="paragraph" w:customStyle="1" w:styleId="pf0">
    <w:name w:val="pf0"/>
    <w:basedOn w:val="Normal"/>
    <w:rsid w:val="0091759B"/>
    <w:pPr>
      <w:spacing w:before="100" w:beforeAutospacing="1" w:after="100" w:afterAutospacing="1" w:line="240" w:lineRule="auto"/>
      <w:ind w:left="2608"/>
    </w:pPr>
    <w:rPr>
      <w:rFonts w:ascii="Times New Roman" w:eastAsia="Times New Roman" w:hAnsi="Times New Roman"/>
      <w:color w:val="auto"/>
      <w:sz w:val="24"/>
      <w:szCs w:val="24"/>
      <w:lang w:val="en-GB" w:eastAsia="en-GB"/>
    </w:rPr>
  </w:style>
  <w:style w:type="character" w:customStyle="1" w:styleId="cf01">
    <w:name w:val="cf01"/>
    <w:basedOn w:val="DefaultParagraphFont"/>
    <w:rsid w:val="0091759B"/>
    <w:rPr>
      <w:rFonts w:ascii="Segoe UI" w:hAnsi="Segoe UI" w:cs="Segoe UI" w:hint="default"/>
      <w:sz w:val="18"/>
      <w:szCs w:val="18"/>
    </w:rPr>
  </w:style>
  <w:style w:type="character" w:customStyle="1" w:styleId="cf11">
    <w:name w:val="cf11"/>
    <w:basedOn w:val="DefaultParagraphFont"/>
    <w:rsid w:val="0091759B"/>
    <w:rPr>
      <w:rFonts w:ascii="Segoe UI" w:hAnsi="Segoe UI" w:cs="Segoe UI" w:hint="default"/>
      <w:sz w:val="18"/>
      <w:szCs w:val="18"/>
    </w:rPr>
  </w:style>
  <w:style w:type="paragraph" w:customStyle="1" w:styleId="Heading4sub">
    <w:name w:val="Heading 4_sub"/>
    <w:basedOn w:val="MDPI31text"/>
    <w:next w:val="MDPI31text"/>
    <w:link w:val="Heading4subChar"/>
    <w:qFormat/>
    <w:rsid w:val="00CB14A0"/>
    <w:pPr>
      <w:keepNext/>
      <w:spacing w:before="120"/>
      <w:ind w:left="2892" w:firstLine="0"/>
    </w:pPr>
  </w:style>
  <w:style w:type="character" w:customStyle="1" w:styleId="MDPI23heading3Char">
    <w:name w:val="MDPI_2.3_heading3 Char"/>
    <w:basedOn w:val="DefaultParagraphFont"/>
    <w:link w:val="MDPI23heading3"/>
    <w:rsid w:val="0085586B"/>
    <w:rPr>
      <w:rFonts w:ascii="Palatino Linotype" w:eastAsia="Times New Roman" w:hAnsi="Palatino Linotype"/>
      <w:snapToGrid w:val="0"/>
      <w:color w:val="000000"/>
      <w:szCs w:val="22"/>
      <w:lang w:eastAsia="de-DE" w:bidi="en-US"/>
    </w:rPr>
  </w:style>
  <w:style w:type="character" w:customStyle="1" w:styleId="Heading4subChar">
    <w:name w:val="Heading 4_sub Char"/>
    <w:basedOn w:val="MDPI23heading3Char"/>
    <w:link w:val="Heading4sub"/>
    <w:rsid w:val="00CB14A0"/>
    <w:rPr>
      <w:rFonts w:ascii="Palatino Linotype" w:eastAsia="Times New Roman" w:hAnsi="Palatino Linotype"/>
      <w:snapToGrid w:val="0"/>
      <w:color w:val="000000"/>
      <w:szCs w:val="22"/>
      <w:lang w:eastAsia="de-DE" w:bidi="en-US"/>
    </w:rPr>
  </w:style>
  <w:style w:type="character" w:styleId="Emphasis">
    <w:name w:val="Emphasis"/>
    <w:basedOn w:val="DefaultParagraphFont"/>
    <w:uiPriority w:val="20"/>
    <w:qFormat/>
    <w:rsid w:val="00545F14"/>
    <w:rPr>
      <w:i/>
      <w:iCs/>
    </w:rPr>
  </w:style>
  <w:style w:type="character" w:styleId="IntenseEmphasis">
    <w:name w:val="Intense Emphasis"/>
    <w:basedOn w:val="DefaultParagraphFont"/>
    <w:uiPriority w:val="21"/>
    <w:qFormat/>
    <w:rsid w:val="00545F14"/>
    <w:rPr>
      <w:i/>
      <w:iCs/>
      <w:color w:val="4472C4" w:themeColor="accent1"/>
    </w:rPr>
  </w:style>
  <w:style w:type="paragraph" w:styleId="Quote">
    <w:name w:val="Quote"/>
    <w:basedOn w:val="Normal"/>
    <w:next w:val="Normal"/>
    <w:link w:val="QuoteChar"/>
    <w:uiPriority w:val="29"/>
    <w:qFormat/>
    <w:rsid w:val="00545F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5F14"/>
    <w:rPr>
      <w:rFonts w:ascii="Palatino Linotype" w:hAnsi="Palatino Linotype"/>
      <w:i/>
      <w:iCs/>
      <w:color w:val="404040" w:themeColor="text1" w:themeTint="BF"/>
    </w:rPr>
  </w:style>
  <w:style w:type="paragraph" w:styleId="IntenseQuote">
    <w:name w:val="Intense Quote"/>
    <w:basedOn w:val="Normal"/>
    <w:next w:val="Normal"/>
    <w:link w:val="IntenseQuoteChar"/>
    <w:uiPriority w:val="30"/>
    <w:qFormat/>
    <w:rsid w:val="00545F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5F14"/>
    <w:rPr>
      <w:rFonts w:ascii="Palatino Linotype" w:hAnsi="Palatino Linotype"/>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6733">
      <w:bodyDiv w:val="1"/>
      <w:marLeft w:val="0"/>
      <w:marRight w:val="0"/>
      <w:marTop w:val="0"/>
      <w:marBottom w:val="0"/>
      <w:divBdr>
        <w:top w:val="none" w:sz="0" w:space="0" w:color="auto"/>
        <w:left w:val="none" w:sz="0" w:space="0" w:color="auto"/>
        <w:bottom w:val="none" w:sz="0" w:space="0" w:color="auto"/>
        <w:right w:val="none" w:sz="0" w:space="0" w:color="auto"/>
      </w:divBdr>
    </w:div>
    <w:div w:id="71129531">
      <w:bodyDiv w:val="1"/>
      <w:marLeft w:val="0"/>
      <w:marRight w:val="0"/>
      <w:marTop w:val="0"/>
      <w:marBottom w:val="0"/>
      <w:divBdr>
        <w:top w:val="none" w:sz="0" w:space="0" w:color="auto"/>
        <w:left w:val="none" w:sz="0" w:space="0" w:color="auto"/>
        <w:bottom w:val="none" w:sz="0" w:space="0" w:color="auto"/>
        <w:right w:val="none" w:sz="0" w:space="0" w:color="auto"/>
      </w:divBdr>
    </w:div>
    <w:div w:id="181750201">
      <w:bodyDiv w:val="1"/>
      <w:marLeft w:val="0"/>
      <w:marRight w:val="0"/>
      <w:marTop w:val="0"/>
      <w:marBottom w:val="0"/>
      <w:divBdr>
        <w:top w:val="none" w:sz="0" w:space="0" w:color="auto"/>
        <w:left w:val="none" w:sz="0" w:space="0" w:color="auto"/>
        <w:bottom w:val="none" w:sz="0" w:space="0" w:color="auto"/>
        <w:right w:val="none" w:sz="0" w:space="0" w:color="auto"/>
      </w:divBdr>
    </w:div>
    <w:div w:id="208080894">
      <w:bodyDiv w:val="1"/>
      <w:marLeft w:val="0"/>
      <w:marRight w:val="0"/>
      <w:marTop w:val="0"/>
      <w:marBottom w:val="0"/>
      <w:divBdr>
        <w:top w:val="none" w:sz="0" w:space="0" w:color="auto"/>
        <w:left w:val="none" w:sz="0" w:space="0" w:color="auto"/>
        <w:bottom w:val="none" w:sz="0" w:space="0" w:color="auto"/>
        <w:right w:val="none" w:sz="0" w:space="0" w:color="auto"/>
      </w:divBdr>
      <w:divsChild>
        <w:div w:id="578489525">
          <w:marLeft w:val="274"/>
          <w:marRight w:val="0"/>
          <w:marTop w:val="0"/>
          <w:marBottom w:val="0"/>
          <w:divBdr>
            <w:top w:val="none" w:sz="0" w:space="0" w:color="auto"/>
            <w:left w:val="none" w:sz="0" w:space="0" w:color="auto"/>
            <w:bottom w:val="none" w:sz="0" w:space="0" w:color="auto"/>
            <w:right w:val="none" w:sz="0" w:space="0" w:color="auto"/>
          </w:divBdr>
        </w:div>
        <w:div w:id="856457213">
          <w:marLeft w:val="274"/>
          <w:marRight w:val="0"/>
          <w:marTop w:val="0"/>
          <w:marBottom w:val="0"/>
          <w:divBdr>
            <w:top w:val="none" w:sz="0" w:space="0" w:color="auto"/>
            <w:left w:val="none" w:sz="0" w:space="0" w:color="auto"/>
            <w:bottom w:val="none" w:sz="0" w:space="0" w:color="auto"/>
            <w:right w:val="none" w:sz="0" w:space="0" w:color="auto"/>
          </w:divBdr>
        </w:div>
        <w:div w:id="1685133743">
          <w:marLeft w:val="274"/>
          <w:marRight w:val="0"/>
          <w:marTop w:val="0"/>
          <w:marBottom w:val="0"/>
          <w:divBdr>
            <w:top w:val="none" w:sz="0" w:space="0" w:color="auto"/>
            <w:left w:val="none" w:sz="0" w:space="0" w:color="auto"/>
            <w:bottom w:val="none" w:sz="0" w:space="0" w:color="auto"/>
            <w:right w:val="none" w:sz="0" w:space="0" w:color="auto"/>
          </w:divBdr>
        </w:div>
      </w:divsChild>
    </w:div>
    <w:div w:id="270020172">
      <w:bodyDiv w:val="1"/>
      <w:marLeft w:val="0"/>
      <w:marRight w:val="0"/>
      <w:marTop w:val="0"/>
      <w:marBottom w:val="0"/>
      <w:divBdr>
        <w:top w:val="none" w:sz="0" w:space="0" w:color="auto"/>
        <w:left w:val="none" w:sz="0" w:space="0" w:color="auto"/>
        <w:bottom w:val="none" w:sz="0" w:space="0" w:color="auto"/>
        <w:right w:val="none" w:sz="0" w:space="0" w:color="auto"/>
      </w:divBdr>
      <w:divsChild>
        <w:div w:id="538591394">
          <w:marLeft w:val="274"/>
          <w:marRight w:val="0"/>
          <w:marTop w:val="0"/>
          <w:marBottom w:val="120"/>
          <w:divBdr>
            <w:top w:val="none" w:sz="0" w:space="0" w:color="auto"/>
            <w:left w:val="none" w:sz="0" w:space="0" w:color="auto"/>
            <w:bottom w:val="none" w:sz="0" w:space="0" w:color="auto"/>
            <w:right w:val="none" w:sz="0" w:space="0" w:color="auto"/>
          </w:divBdr>
        </w:div>
        <w:div w:id="107622427">
          <w:marLeft w:val="274"/>
          <w:marRight w:val="0"/>
          <w:marTop w:val="0"/>
          <w:marBottom w:val="120"/>
          <w:divBdr>
            <w:top w:val="none" w:sz="0" w:space="0" w:color="auto"/>
            <w:left w:val="none" w:sz="0" w:space="0" w:color="auto"/>
            <w:bottom w:val="none" w:sz="0" w:space="0" w:color="auto"/>
            <w:right w:val="none" w:sz="0" w:space="0" w:color="auto"/>
          </w:divBdr>
        </w:div>
      </w:divsChild>
    </w:div>
    <w:div w:id="314648623">
      <w:bodyDiv w:val="1"/>
      <w:marLeft w:val="0"/>
      <w:marRight w:val="0"/>
      <w:marTop w:val="0"/>
      <w:marBottom w:val="0"/>
      <w:divBdr>
        <w:top w:val="none" w:sz="0" w:space="0" w:color="auto"/>
        <w:left w:val="none" w:sz="0" w:space="0" w:color="auto"/>
        <w:bottom w:val="none" w:sz="0" w:space="0" w:color="auto"/>
        <w:right w:val="none" w:sz="0" w:space="0" w:color="auto"/>
      </w:divBdr>
      <w:divsChild>
        <w:div w:id="1179471377">
          <w:marLeft w:val="274"/>
          <w:marRight w:val="0"/>
          <w:marTop w:val="0"/>
          <w:marBottom w:val="120"/>
          <w:divBdr>
            <w:top w:val="none" w:sz="0" w:space="0" w:color="auto"/>
            <w:left w:val="none" w:sz="0" w:space="0" w:color="auto"/>
            <w:bottom w:val="none" w:sz="0" w:space="0" w:color="auto"/>
            <w:right w:val="none" w:sz="0" w:space="0" w:color="auto"/>
          </w:divBdr>
        </w:div>
      </w:divsChild>
    </w:div>
    <w:div w:id="349259875">
      <w:bodyDiv w:val="1"/>
      <w:marLeft w:val="0"/>
      <w:marRight w:val="0"/>
      <w:marTop w:val="0"/>
      <w:marBottom w:val="0"/>
      <w:divBdr>
        <w:top w:val="none" w:sz="0" w:space="0" w:color="auto"/>
        <w:left w:val="none" w:sz="0" w:space="0" w:color="auto"/>
        <w:bottom w:val="none" w:sz="0" w:space="0" w:color="auto"/>
        <w:right w:val="none" w:sz="0" w:space="0" w:color="auto"/>
      </w:divBdr>
    </w:div>
    <w:div w:id="379670547">
      <w:bodyDiv w:val="1"/>
      <w:marLeft w:val="0"/>
      <w:marRight w:val="0"/>
      <w:marTop w:val="0"/>
      <w:marBottom w:val="0"/>
      <w:divBdr>
        <w:top w:val="none" w:sz="0" w:space="0" w:color="auto"/>
        <w:left w:val="none" w:sz="0" w:space="0" w:color="auto"/>
        <w:bottom w:val="none" w:sz="0" w:space="0" w:color="auto"/>
        <w:right w:val="none" w:sz="0" w:space="0" w:color="auto"/>
      </w:divBdr>
      <w:divsChild>
        <w:div w:id="2054160461">
          <w:marLeft w:val="274"/>
          <w:marRight w:val="0"/>
          <w:marTop w:val="0"/>
          <w:marBottom w:val="120"/>
          <w:divBdr>
            <w:top w:val="none" w:sz="0" w:space="0" w:color="auto"/>
            <w:left w:val="none" w:sz="0" w:space="0" w:color="auto"/>
            <w:bottom w:val="none" w:sz="0" w:space="0" w:color="auto"/>
            <w:right w:val="none" w:sz="0" w:space="0" w:color="auto"/>
          </w:divBdr>
        </w:div>
      </w:divsChild>
    </w:div>
    <w:div w:id="551355047">
      <w:bodyDiv w:val="1"/>
      <w:marLeft w:val="0"/>
      <w:marRight w:val="0"/>
      <w:marTop w:val="0"/>
      <w:marBottom w:val="0"/>
      <w:divBdr>
        <w:top w:val="none" w:sz="0" w:space="0" w:color="auto"/>
        <w:left w:val="none" w:sz="0" w:space="0" w:color="auto"/>
        <w:bottom w:val="none" w:sz="0" w:space="0" w:color="auto"/>
        <w:right w:val="none" w:sz="0" w:space="0" w:color="auto"/>
      </w:divBdr>
    </w:div>
    <w:div w:id="647520639">
      <w:bodyDiv w:val="1"/>
      <w:marLeft w:val="0"/>
      <w:marRight w:val="0"/>
      <w:marTop w:val="0"/>
      <w:marBottom w:val="0"/>
      <w:divBdr>
        <w:top w:val="none" w:sz="0" w:space="0" w:color="auto"/>
        <w:left w:val="none" w:sz="0" w:space="0" w:color="auto"/>
        <w:bottom w:val="none" w:sz="0" w:space="0" w:color="auto"/>
        <w:right w:val="none" w:sz="0" w:space="0" w:color="auto"/>
      </w:divBdr>
    </w:div>
    <w:div w:id="716780399">
      <w:bodyDiv w:val="1"/>
      <w:marLeft w:val="0"/>
      <w:marRight w:val="0"/>
      <w:marTop w:val="0"/>
      <w:marBottom w:val="0"/>
      <w:divBdr>
        <w:top w:val="none" w:sz="0" w:space="0" w:color="auto"/>
        <w:left w:val="none" w:sz="0" w:space="0" w:color="auto"/>
        <w:bottom w:val="none" w:sz="0" w:space="0" w:color="auto"/>
        <w:right w:val="none" w:sz="0" w:space="0" w:color="auto"/>
      </w:divBdr>
      <w:divsChild>
        <w:div w:id="441652464">
          <w:marLeft w:val="274"/>
          <w:marRight w:val="0"/>
          <w:marTop w:val="0"/>
          <w:marBottom w:val="0"/>
          <w:divBdr>
            <w:top w:val="none" w:sz="0" w:space="0" w:color="auto"/>
            <w:left w:val="none" w:sz="0" w:space="0" w:color="auto"/>
            <w:bottom w:val="none" w:sz="0" w:space="0" w:color="auto"/>
            <w:right w:val="none" w:sz="0" w:space="0" w:color="auto"/>
          </w:divBdr>
        </w:div>
        <w:div w:id="1163929532">
          <w:marLeft w:val="274"/>
          <w:marRight w:val="0"/>
          <w:marTop w:val="0"/>
          <w:marBottom w:val="0"/>
          <w:divBdr>
            <w:top w:val="none" w:sz="0" w:space="0" w:color="auto"/>
            <w:left w:val="none" w:sz="0" w:space="0" w:color="auto"/>
            <w:bottom w:val="none" w:sz="0" w:space="0" w:color="auto"/>
            <w:right w:val="none" w:sz="0" w:space="0" w:color="auto"/>
          </w:divBdr>
        </w:div>
        <w:div w:id="1397626616">
          <w:marLeft w:val="274"/>
          <w:marRight w:val="0"/>
          <w:marTop w:val="0"/>
          <w:marBottom w:val="0"/>
          <w:divBdr>
            <w:top w:val="none" w:sz="0" w:space="0" w:color="auto"/>
            <w:left w:val="none" w:sz="0" w:space="0" w:color="auto"/>
            <w:bottom w:val="none" w:sz="0" w:space="0" w:color="auto"/>
            <w:right w:val="none" w:sz="0" w:space="0" w:color="auto"/>
          </w:divBdr>
        </w:div>
        <w:div w:id="1860316581">
          <w:marLeft w:val="274"/>
          <w:marRight w:val="0"/>
          <w:marTop w:val="0"/>
          <w:marBottom w:val="0"/>
          <w:divBdr>
            <w:top w:val="none" w:sz="0" w:space="0" w:color="auto"/>
            <w:left w:val="none" w:sz="0" w:space="0" w:color="auto"/>
            <w:bottom w:val="none" w:sz="0" w:space="0" w:color="auto"/>
            <w:right w:val="none" w:sz="0" w:space="0" w:color="auto"/>
          </w:divBdr>
        </w:div>
        <w:div w:id="1926263228">
          <w:marLeft w:val="274"/>
          <w:marRight w:val="0"/>
          <w:marTop w:val="0"/>
          <w:marBottom w:val="0"/>
          <w:divBdr>
            <w:top w:val="none" w:sz="0" w:space="0" w:color="auto"/>
            <w:left w:val="none" w:sz="0" w:space="0" w:color="auto"/>
            <w:bottom w:val="none" w:sz="0" w:space="0" w:color="auto"/>
            <w:right w:val="none" w:sz="0" w:space="0" w:color="auto"/>
          </w:divBdr>
        </w:div>
        <w:div w:id="2115244337">
          <w:marLeft w:val="274"/>
          <w:marRight w:val="0"/>
          <w:marTop w:val="0"/>
          <w:marBottom w:val="0"/>
          <w:divBdr>
            <w:top w:val="none" w:sz="0" w:space="0" w:color="auto"/>
            <w:left w:val="none" w:sz="0" w:space="0" w:color="auto"/>
            <w:bottom w:val="none" w:sz="0" w:space="0" w:color="auto"/>
            <w:right w:val="none" w:sz="0" w:space="0" w:color="auto"/>
          </w:divBdr>
        </w:div>
      </w:divsChild>
    </w:div>
    <w:div w:id="748231186">
      <w:bodyDiv w:val="1"/>
      <w:marLeft w:val="0"/>
      <w:marRight w:val="0"/>
      <w:marTop w:val="0"/>
      <w:marBottom w:val="0"/>
      <w:divBdr>
        <w:top w:val="none" w:sz="0" w:space="0" w:color="auto"/>
        <w:left w:val="none" w:sz="0" w:space="0" w:color="auto"/>
        <w:bottom w:val="none" w:sz="0" w:space="0" w:color="auto"/>
        <w:right w:val="none" w:sz="0" w:space="0" w:color="auto"/>
      </w:divBdr>
    </w:div>
    <w:div w:id="779567659">
      <w:bodyDiv w:val="1"/>
      <w:marLeft w:val="0"/>
      <w:marRight w:val="0"/>
      <w:marTop w:val="0"/>
      <w:marBottom w:val="0"/>
      <w:divBdr>
        <w:top w:val="none" w:sz="0" w:space="0" w:color="auto"/>
        <w:left w:val="none" w:sz="0" w:space="0" w:color="auto"/>
        <w:bottom w:val="none" w:sz="0" w:space="0" w:color="auto"/>
        <w:right w:val="none" w:sz="0" w:space="0" w:color="auto"/>
      </w:divBdr>
    </w:div>
    <w:div w:id="780225410">
      <w:bodyDiv w:val="1"/>
      <w:marLeft w:val="0"/>
      <w:marRight w:val="0"/>
      <w:marTop w:val="0"/>
      <w:marBottom w:val="0"/>
      <w:divBdr>
        <w:top w:val="none" w:sz="0" w:space="0" w:color="auto"/>
        <w:left w:val="none" w:sz="0" w:space="0" w:color="auto"/>
        <w:bottom w:val="none" w:sz="0" w:space="0" w:color="auto"/>
        <w:right w:val="none" w:sz="0" w:space="0" w:color="auto"/>
      </w:divBdr>
    </w:div>
    <w:div w:id="941911485">
      <w:bodyDiv w:val="1"/>
      <w:marLeft w:val="0"/>
      <w:marRight w:val="0"/>
      <w:marTop w:val="0"/>
      <w:marBottom w:val="0"/>
      <w:divBdr>
        <w:top w:val="none" w:sz="0" w:space="0" w:color="auto"/>
        <w:left w:val="none" w:sz="0" w:space="0" w:color="auto"/>
        <w:bottom w:val="none" w:sz="0" w:space="0" w:color="auto"/>
        <w:right w:val="none" w:sz="0" w:space="0" w:color="auto"/>
      </w:divBdr>
    </w:div>
    <w:div w:id="987514036">
      <w:bodyDiv w:val="1"/>
      <w:marLeft w:val="0"/>
      <w:marRight w:val="0"/>
      <w:marTop w:val="0"/>
      <w:marBottom w:val="0"/>
      <w:divBdr>
        <w:top w:val="none" w:sz="0" w:space="0" w:color="auto"/>
        <w:left w:val="none" w:sz="0" w:space="0" w:color="auto"/>
        <w:bottom w:val="none" w:sz="0" w:space="0" w:color="auto"/>
        <w:right w:val="none" w:sz="0" w:space="0" w:color="auto"/>
      </w:divBdr>
    </w:div>
    <w:div w:id="1015813024">
      <w:bodyDiv w:val="1"/>
      <w:marLeft w:val="0"/>
      <w:marRight w:val="0"/>
      <w:marTop w:val="0"/>
      <w:marBottom w:val="0"/>
      <w:divBdr>
        <w:top w:val="none" w:sz="0" w:space="0" w:color="auto"/>
        <w:left w:val="none" w:sz="0" w:space="0" w:color="auto"/>
        <w:bottom w:val="none" w:sz="0" w:space="0" w:color="auto"/>
        <w:right w:val="none" w:sz="0" w:space="0" w:color="auto"/>
      </w:divBdr>
      <w:divsChild>
        <w:div w:id="148060514">
          <w:marLeft w:val="274"/>
          <w:marRight w:val="0"/>
          <w:marTop w:val="0"/>
          <w:marBottom w:val="120"/>
          <w:divBdr>
            <w:top w:val="none" w:sz="0" w:space="0" w:color="auto"/>
            <w:left w:val="none" w:sz="0" w:space="0" w:color="auto"/>
            <w:bottom w:val="none" w:sz="0" w:space="0" w:color="auto"/>
            <w:right w:val="none" w:sz="0" w:space="0" w:color="auto"/>
          </w:divBdr>
        </w:div>
        <w:div w:id="1229881024">
          <w:marLeft w:val="274"/>
          <w:marRight w:val="0"/>
          <w:marTop w:val="0"/>
          <w:marBottom w:val="120"/>
          <w:divBdr>
            <w:top w:val="none" w:sz="0" w:space="0" w:color="auto"/>
            <w:left w:val="none" w:sz="0" w:space="0" w:color="auto"/>
            <w:bottom w:val="none" w:sz="0" w:space="0" w:color="auto"/>
            <w:right w:val="none" w:sz="0" w:space="0" w:color="auto"/>
          </w:divBdr>
        </w:div>
        <w:div w:id="1883666145">
          <w:marLeft w:val="274"/>
          <w:marRight w:val="0"/>
          <w:marTop w:val="0"/>
          <w:marBottom w:val="120"/>
          <w:divBdr>
            <w:top w:val="none" w:sz="0" w:space="0" w:color="auto"/>
            <w:left w:val="none" w:sz="0" w:space="0" w:color="auto"/>
            <w:bottom w:val="none" w:sz="0" w:space="0" w:color="auto"/>
            <w:right w:val="none" w:sz="0" w:space="0" w:color="auto"/>
          </w:divBdr>
        </w:div>
      </w:divsChild>
    </w:div>
    <w:div w:id="1035272211">
      <w:bodyDiv w:val="1"/>
      <w:marLeft w:val="0"/>
      <w:marRight w:val="0"/>
      <w:marTop w:val="0"/>
      <w:marBottom w:val="0"/>
      <w:divBdr>
        <w:top w:val="none" w:sz="0" w:space="0" w:color="auto"/>
        <w:left w:val="none" w:sz="0" w:space="0" w:color="auto"/>
        <w:bottom w:val="none" w:sz="0" w:space="0" w:color="auto"/>
        <w:right w:val="none" w:sz="0" w:space="0" w:color="auto"/>
      </w:divBdr>
      <w:divsChild>
        <w:div w:id="1086076773">
          <w:marLeft w:val="274"/>
          <w:marRight w:val="0"/>
          <w:marTop w:val="0"/>
          <w:marBottom w:val="120"/>
          <w:divBdr>
            <w:top w:val="none" w:sz="0" w:space="0" w:color="auto"/>
            <w:left w:val="none" w:sz="0" w:space="0" w:color="auto"/>
            <w:bottom w:val="none" w:sz="0" w:space="0" w:color="auto"/>
            <w:right w:val="none" w:sz="0" w:space="0" w:color="auto"/>
          </w:divBdr>
        </w:div>
      </w:divsChild>
    </w:div>
    <w:div w:id="1050306016">
      <w:bodyDiv w:val="1"/>
      <w:marLeft w:val="0"/>
      <w:marRight w:val="0"/>
      <w:marTop w:val="0"/>
      <w:marBottom w:val="0"/>
      <w:divBdr>
        <w:top w:val="none" w:sz="0" w:space="0" w:color="auto"/>
        <w:left w:val="none" w:sz="0" w:space="0" w:color="auto"/>
        <w:bottom w:val="none" w:sz="0" w:space="0" w:color="auto"/>
        <w:right w:val="none" w:sz="0" w:space="0" w:color="auto"/>
      </w:divBdr>
      <w:divsChild>
        <w:div w:id="1689017946">
          <w:marLeft w:val="274"/>
          <w:marRight w:val="0"/>
          <w:marTop w:val="0"/>
          <w:marBottom w:val="120"/>
          <w:divBdr>
            <w:top w:val="none" w:sz="0" w:space="0" w:color="auto"/>
            <w:left w:val="none" w:sz="0" w:space="0" w:color="auto"/>
            <w:bottom w:val="none" w:sz="0" w:space="0" w:color="auto"/>
            <w:right w:val="none" w:sz="0" w:space="0" w:color="auto"/>
          </w:divBdr>
        </w:div>
      </w:divsChild>
    </w:div>
    <w:div w:id="1060397089">
      <w:bodyDiv w:val="1"/>
      <w:marLeft w:val="0"/>
      <w:marRight w:val="0"/>
      <w:marTop w:val="0"/>
      <w:marBottom w:val="0"/>
      <w:divBdr>
        <w:top w:val="none" w:sz="0" w:space="0" w:color="auto"/>
        <w:left w:val="none" w:sz="0" w:space="0" w:color="auto"/>
        <w:bottom w:val="none" w:sz="0" w:space="0" w:color="auto"/>
        <w:right w:val="none" w:sz="0" w:space="0" w:color="auto"/>
      </w:divBdr>
      <w:divsChild>
        <w:div w:id="1668747530">
          <w:marLeft w:val="274"/>
          <w:marRight w:val="0"/>
          <w:marTop w:val="0"/>
          <w:marBottom w:val="120"/>
          <w:divBdr>
            <w:top w:val="none" w:sz="0" w:space="0" w:color="auto"/>
            <w:left w:val="none" w:sz="0" w:space="0" w:color="auto"/>
            <w:bottom w:val="none" w:sz="0" w:space="0" w:color="auto"/>
            <w:right w:val="none" w:sz="0" w:space="0" w:color="auto"/>
          </w:divBdr>
        </w:div>
      </w:divsChild>
    </w:div>
    <w:div w:id="1131051265">
      <w:bodyDiv w:val="1"/>
      <w:marLeft w:val="0"/>
      <w:marRight w:val="0"/>
      <w:marTop w:val="0"/>
      <w:marBottom w:val="0"/>
      <w:divBdr>
        <w:top w:val="none" w:sz="0" w:space="0" w:color="auto"/>
        <w:left w:val="none" w:sz="0" w:space="0" w:color="auto"/>
        <w:bottom w:val="none" w:sz="0" w:space="0" w:color="auto"/>
        <w:right w:val="none" w:sz="0" w:space="0" w:color="auto"/>
      </w:divBdr>
    </w:div>
    <w:div w:id="1153763046">
      <w:bodyDiv w:val="1"/>
      <w:marLeft w:val="0"/>
      <w:marRight w:val="0"/>
      <w:marTop w:val="0"/>
      <w:marBottom w:val="0"/>
      <w:divBdr>
        <w:top w:val="none" w:sz="0" w:space="0" w:color="auto"/>
        <w:left w:val="none" w:sz="0" w:space="0" w:color="auto"/>
        <w:bottom w:val="none" w:sz="0" w:space="0" w:color="auto"/>
        <w:right w:val="none" w:sz="0" w:space="0" w:color="auto"/>
      </w:divBdr>
    </w:div>
    <w:div w:id="1154105640">
      <w:bodyDiv w:val="1"/>
      <w:marLeft w:val="0"/>
      <w:marRight w:val="0"/>
      <w:marTop w:val="0"/>
      <w:marBottom w:val="0"/>
      <w:divBdr>
        <w:top w:val="none" w:sz="0" w:space="0" w:color="auto"/>
        <w:left w:val="none" w:sz="0" w:space="0" w:color="auto"/>
        <w:bottom w:val="none" w:sz="0" w:space="0" w:color="auto"/>
        <w:right w:val="none" w:sz="0" w:space="0" w:color="auto"/>
      </w:divBdr>
      <w:divsChild>
        <w:div w:id="144323603">
          <w:marLeft w:val="274"/>
          <w:marRight w:val="0"/>
          <w:marTop w:val="0"/>
          <w:marBottom w:val="120"/>
          <w:divBdr>
            <w:top w:val="none" w:sz="0" w:space="0" w:color="auto"/>
            <w:left w:val="none" w:sz="0" w:space="0" w:color="auto"/>
            <w:bottom w:val="none" w:sz="0" w:space="0" w:color="auto"/>
            <w:right w:val="none" w:sz="0" w:space="0" w:color="auto"/>
          </w:divBdr>
        </w:div>
      </w:divsChild>
    </w:div>
    <w:div w:id="1340698974">
      <w:bodyDiv w:val="1"/>
      <w:marLeft w:val="0"/>
      <w:marRight w:val="0"/>
      <w:marTop w:val="0"/>
      <w:marBottom w:val="0"/>
      <w:divBdr>
        <w:top w:val="none" w:sz="0" w:space="0" w:color="auto"/>
        <w:left w:val="none" w:sz="0" w:space="0" w:color="auto"/>
        <w:bottom w:val="none" w:sz="0" w:space="0" w:color="auto"/>
        <w:right w:val="none" w:sz="0" w:space="0" w:color="auto"/>
      </w:divBdr>
    </w:div>
    <w:div w:id="1420717008">
      <w:bodyDiv w:val="1"/>
      <w:marLeft w:val="0"/>
      <w:marRight w:val="0"/>
      <w:marTop w:val="0"/>
      <w:marBottom w:val="0"/>
      <w:divBdr>
        <w:top w:val="none" w:sz="0" w:space="0" w:color="auto"/>
        <w:left w:val="none" w:sz="0" w:space="0" w:color="auto"/>
        <w:bottom w:val="none" w:sz="0" w:space="0" w:color="auto"/>
        <w:right w:val="none" w:sz="0" w:space="0" w:color="auto"/>
      </w:divBdr>
      <w:divsChild>
        <w:div w:id="1002969478">
          <w:marLeft w:val="274"/>
          <w:marRight w:val="0"/>
          <w:marTop w:val="0"/>
          <w:marBottom w:val="0"/>
          <w:divBdr>
            <w:top w:val="none" w:sz="0" w:space="0" w:color="auto"/>
            <w:left w:val="none" w:sz="0" w:space="0" w:color="auto"/>
            <w:bottom w:val="none" w:sz="0" w:space="0" w:color="auto"/>
            <w:right w:val="none" w:sz="0" w:space="0" w:color="auto"/>
          </w:divBdr>
        </w:div>
        <w:div w:id="1116098011">
          <w:marLeft w:val="274"/>
          <w:marRight w:val="0"/>
          <w:marTop w:val="0"/>
          <w:marBottom w:val="0"/>
          <w:divBdr>
            <w:top w:val="none" w:sz="0" w:space="0" w:color="auto"/>
            <w:left w:val="none" w:sz="0" w:space="0" w:color="auto"/>
            <w:bottom w:val="none" w:sz="0" w:space="0" w:color="auto"/>
            <w:right w:val="none" w:sz="0" w:space="0" w:color="auto"/>
          </w:divBdr>
        </w:div>
        <w:div w:id="1672874961">
          <w:marLeft w:val="274"/>
          <w:marRight w:val="0"/>
          <w:marTop w:val="0"/>
          <w:marBottom w:val="0"/>
          <w:divBdr>
            <w:top w:val="none" w:sz="0" w:space="0" w:color="auto"/>
            <w:left w:val="none" w:sz="0" w:space="0" w:color="auto"/>
            <w:bottom w:val="none" w:sz="0" w:space="0" w:color="auto"/>
            <w:right w:val="none" w:sz="0" w:space="0" w:color="auto"/>
          </w:divBdr>
        </w:div>
      </w:divsChild>
    </w:div>
    <w:div w:id="1465738713">
      <w:bodyDiv w:val="1"/>
      <w:marLeft w:val="0"/>
      <w:marRight w:val="0"/>
      <w:marTop w:val="0"/>
      <w:marBottom w:val="0"/>
      <w:divBdr>
        <w:top w:val="none" w:sz="0" w:space="0" w:color="auto"/>
        <w:left w:val="none" w:sz="0" w:space="0" w:color="auto"/>
        <w:bottom w:val="none" w:sz="0" w:space="0" w:color="auto"/>
        <w:right w:val="none" w:sz="0" w:space="0" w:color="auto"/>
      </w:divBdr>
      <w:divsChild>
        <w:div w:id="1867057168">
          <w:marLeft w:val="274"/>
          <w:marRight w:val="0"/>
          <w:marTop w:val="0"/>
          <w:marBottom w:val="120"/>
          <w:divBdr>
            <w:top w:val="none" w:sz="0" w:space="0" w:color="auto"/>
            <w:left w:val="none" w:sz="0" w:space="0" w:color="auto"/>
            <w:bottom w:val="none" w:sz="0" w:space="0" w:color="auto"/>
            <w:right w:val="none" w:sz="0" w:space="0" w:color="auto"/>
          </w:divBdr>
        </w:div>
        <w:div w:id="2076540382">
          <w:marLeft w:val="274"/>
          <w:marRight w:val="0"/>
          <w:marTop w:val="0"/>
          <w:marBottom w:val="120"/>
          <w:divBdr>
            <w:top w:val="none" w:sz="0" w:space="0" w:color="auto"/>
            <w:left w:val="none" w:sz="0" w:space="0" w:color="auto"/>
            <w:bottom w:val="none" w:sz="0" w:space="0" w:color="auto"/>
            <w:right w:val="none" w:sz="0" w:space="0" w:color="auto"/>
          </w:divBdr>
        </w:div>
      </w:divsChild>
    </w:div>
    <w:div w:id="1653556965">
      <w:bodyDiv w:val="1"/>
      <w:marLeft w:val="0"/>
      <w:marRight w:val="0"/>
      <w:marTop w:val="0"/>
      <w:marBottom w:val="0"/>
      <w:divBdr>
        <w:top w:val="none" w:sz="0" w:space="0" w:color="auto"/>
        <w:left w:val="none" w:sz="0" w:space="0" w:color="auto"/>
        <w:bottom w:val="none" w:sz="0" w:space="0" w:color="auto"/>
        <w:right w:val="none" w:sz="0" w:space="0" w:color="auto"/>
      </w:divBdr>
      <w:divsChild>
        <w:div w:id="416177808">
          <w:marLeft w:val="274"/>
          <w:marRight w:val="0"/>
          <w:marTop w:val="0"/>
          <w:marBottom w:val="120"/>
          <w:divBdr>
            <w:top w:val="none" w:sz="0" w:space="0" w:color="auto"/>
            <w:left w:val="none" w:sz="0" w:space="0" w:color="auto"/>
            <w:bottom w:val="none" w:sz="0" w:space="0" w:color="auto"/>
            <w:right w:val="none" w:sz="0" w:space="0" w:color="auto"/>
          </w:divBdr>
        </w:div>
      </w:divsChild>
    </w:div>
    <w:div w:id="1667441047">
      <w:bodyDiv w:val="1"/>
      <w:marLeft w:val="0"/>
      <w:marRight w:val="0"/>
      <w:marTop w:val="0"/>
      <w:marBottom w:val="0"/>
      <w:divBdr>
        <w:top w:val="none" w:sz="0" w:space="0" w:color="auto"/>
        <w:left w:val="none" w:sz="0" w:space="0" w:color="auto"/>
        <w:bottom w:val="none" w:sz="0" w:space="0" w:color="auto"/>
        <w:right w:val="none" w:sz="0" w:space="0" w:color="auto"/>
      </w:divBdr>
    </w:div>
    <w:div w:id="1700626228">
      <w:bodyDiv w:val="1"/>
      <w:marLeft w:val="0"/>
      <w:marRight w:val="0"/>
      <w:marTop w:val="0"/>
      <w:marBottom w:val="0"/>
      <w:divBdr>
        <w:top w:val="none" w:sz="0" w:space="0" w:color="auto"/>
        <w:left w:val="none" w:sz="0" w:space="0" w:color="auto"/>
        <w:bottom w:val="none" w:sz="0" w:space="0" w:color="auto"/>
        <w:right w:val="none" w:sz="0" w:space="0" w:color="auto"/>
      </w:divBdr>
    </w:div>
    <w:div w:id="1857572602">
      <w:bodyDiv w:val="1"/>
      <w:marLeft w:val="0"/>
      <w:marRight w:val="0"/>
      <w:marTop w:val="0"/>
      <w:marBottom w:val="0"/>
      <w:divBdr>
        <w:top w:val="none" w:sz="0" w:space="0" w:color="auto"/>
        <w:left w:val="none" w:sz="0" w:space="0" w:color="auto"/>
        <w:bottom w:val="none" w:sz="0" w:space="0" w:color="auto"/>
        <w:right w:val="none" w:sz="0" w:space="0" w:color="auto"/>
      </w:divBdr>
    </w:div>
    <w:div w:id="1943680017">
      <w:bodyDiv w:val="1"/>
      <w:marLeft w:val="0"/>
      <w:marRight w:val="0"/>
      <w:marTop w:val="0"/>
      <w:marBottom w:val="0"/>
      <w:divBdr>
        <w:top w:val="none" w:sz="0" w:space="0" w:color="auto"/>
        <w:left w:val="none" w:sz="0" w:space="0" w:color="auto"/>
        <w:bottom w:val="none" w:sz="0" w:space="0" w:color="auto"/>
        <w:right w:val="none" w:sz="0" w:space="0" w:color="auto"/>
      </w:divBdr>
    </w:div>
    <w:div w:id="2038312999">
      <w:bodyDiv w:val="1"/>
      <w:marLeft w:val="0"/>
      <w:marRight w:val="0"/>
      <w:marTop w:val="0"/>
      <w:marBottom w:val="0"/>
      <w:divBdr>
        <w:top w:val="none" w:sz="0" w:space="0" w:color="auto"/>
        <w:left w:val="none" w:sz="0" w:space="0" w:color="auto"/>
        <w:bottom w:val="none" w:sz="0" w:space="0" w:color="auto"/>
        <w:right w:val="none" w:sz="0" w:space="0" w:color="auto"/>
      </w:divBdr>
      <w:divsChild>
        <w:div w:id="1443306141">
          <w:marLeft w:val="274"/>
          <w:marRight w:val="0"/>
          <w:marTop w:val="0"/>
          <w:marBottom w:val="12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u@assign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8B11D9DD5C145B40182BC947075A3" ma:contentTypeVersion="15" ma:contentTypeDescription="Create a new document." ma:contentTypeScope="" ma:versionID="2b23100538916b476482304bf605df70">
  <xsd:schema xmlns:xsd="http://www.w3.org/2001/XMLSchema" xmlns:xs="http://www.w3.org/2001/XMLSchema" xmlns:p="http://schemas.microsoft.com/office/2006/metadata/properties" xmlns:ns2="aecb83b9-1182-4330-8466-c1d97f30b95d" xmlns:ns3="aeb0a5e9-613f-41ec-88a3-7ae7005a4b85" targetNamespace="http://schemas.microsoft.com/office/2006/metadata/properties" ma:root="true" ma:fieldsID="d392a63a95b4d08ee4fc0635a640a312" ns2:_="" ns3:_="">
    <xsd:import namespace="aecb83b9-1182-4330-8466-c1d97f30b95d"/>
    <xsd:import namespace="aeb0a5e9-613f-41ec-88a3-7ae7005a4b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83b9-1182-4330-8466-c1d97f30b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956f7a1-0b31-4c70-9137-dd1ac2ecb3c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0a5e9-613f-41ec-88a3-7ae7005a4b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ba259d-37f7-4f7e-a6e8-17926ac5302e}" ma:internalName="TaxCatchAll" ma:showField="CatchAllData" ma:web="aeb0a5e9-613f-41ec-88a3-7ae7005a4b8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BC26-9402-497A-9264-ECBD4BF9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b83b9-1182-4330-8466-c1d97f30b95d"/>
    <ds:schemaRef ds:uri="aeb0a5e9-613f-41ec-88a3-7ae7005a4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E98E8-86CA-42CA-AA29-BFF1DCE7D924}">
  <ds:schemaRefs>
    <ds:schemaRef ds:uri="http://schemas.microsoft.com/sharepoint/v3/contenttype/forms"/>
  </ds:schemaRefs>
</ds:datastoreItem>
</file>

<file path=customXml/itemProps3.xml><?xml version="1.0" encoding="utf-8"?>
<ds:datastoreItem xmlns:ds="http://schemas.openxmlformats.org/officeDocument/2006/customXml" ds:itemID="{DC44DA71-66D9-4C55-8E91-21D46312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Badora</dc:creator>
  <cp:keywords/>
  <dc:description/>
  <cp:lastModifiedBy>Karolina Badora</cp:lastModifiedBy>
  <cp:revision>4</cp:revision>
  <dcterms:created xsi:type="dcterms:W3CDTF">2024-09-01T13:29:00Z</dcterms:created>
  <dcterms:modified xsi:type="dcterms:W3CDTF">2024-09-01T13:40:00Z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1a2d198f03a41c0a9218fadac559a7b14fa8f9f3dd503d25187e017191d8fd8b</vt:lpwstr>
  </property>
  <property fmtid="{D5CDD505-2E9C-101B-9397-08002B2CF9AE}" pid="3" name="ContentTypeId">
    <vt:lpwstr>0x010100FC78B11D9DD5C145B40182BC947075A3</vt:lpwstr>
  </property>
  <property fmtid="{D5CDD505-2E9C-101B-9397-08002B2CF9AE}" pid="4" name="lcf76f155ced4ddcb4097134ff3c332f">
    <vt:lpwstr/>
  </property>
  <property fmtid="{D5CDD505-2E9C-101B-9397-08002B2CF9AE}" pid="5" name="TaxCatchAll">
    <vt:lpwstr/>
  </property>
</Properties>
</file>