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MATERIAL</w:t>
      </w:r>
    </w:p>
    <w:p w:rsidR="00000000" w:rsidDel="00000000" w:rsidP="00000000" w:rsidRDefault="00000000" w:rsidRPr="00000000" w14:paraId="00000002">
      <w:pPr>
        <w:spacing w:after="240" w:line="240" w:lineRule="auto"/>
        <w:jc w:val="both"/>
        <w:rPr>
          <w:rFonts w:ascii="Palatino Linotype" w:cs="Palatino Linotype" w:eastAsia="Palatino Linotype" w:hAnsi="Palatino Linotype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both"/>
        <w:rPr>
          <w:rFonts w:ascii="Palatino Linotype" w:cs="Palatino Linotype" w:eastAsia="Palatino Linotype" w:hAnsi="Palatino Linotype"/>
          <w:b w:val="1"/>
          <w:sz w:val="26"/>
          <w:szCs w:val="26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6"/>
          <w:szCs w:val="26"/>
          <w:rtl w:val="0"/>
        </w:rPr>
        <w:t xml:space="preserve">Phytosynthesis of silver oxide nanoparticles using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6"/>
          <w:szCs w:val="26"/>
          <w:rtl w:val="0"/>
        </w:rPr>
        <w:t xml:space="preserve">Mauritia flexuosa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6"/>
          <w:szCs w:val="26"/>
          <w:rtl w:val="0"/>
        </w:rPr>
        <w:t xml:space="preserve"> fruit extract, characterization, and biological activities assessment</w:t>
      </w:r>
    </w:p>
    <w:p w:rsidR="00000000" w:rsidDel="00000000" w:rsidP="00000000" w:rsidRDefault="00000000" w:rsidRPr="00000000" w14:paraId="00000004">
      <w:pPr>
        <w:spacing w:after="360" w:line="240" w:lineRule="auto"/>
        <w:jc w:val="both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Johana Zúñiga-Miranda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, David Vaca-Vega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, Karla Vizuete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, Saskya E. Carrera-Pacheco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, Rebeca Gonzalez-Pastor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, Jorge Heredia-Moya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, Arianna Mayorga-Ramos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, Carlos Barba-Ostria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vertAlign w:val="superscript"/>
          <w:rtl w:val="0"/>
        </w:rPr>
        <w:t xml:space="preserve">4, 5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, Elena Coyago-Cruz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vertAlign w:val="superscript"/>
          <w:rtl w:val="0"/>
        </w:rPr>
        <w:t xml:space="preserve">6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, Alexis Debut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vertAlign w:val="superscript"/>
          <w:rtl w:val="0"/>
        </w:rPr>
        <w:t xml:space="preserve">2,3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and Linda P. Guamán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vertAlign w:val="superscript"/>
          <w:rtl w:val="0"/>
        </w:rPr>
        <w:t xml:space="preserve">1,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*</w:t>
      </w:r>
    </w:p>
    <w:p w:rsidR="00000000" w:rsidDel="00000000" w:rsidP="00000000" w:rsidRDefault="00000000" w:rsidRPr="00000000" w14:paraId="00000005">
      <w:pPr>
        <w:spacing w:line="240" w:lineRule="auto"/>
        <w:ind w:left="566.9291338582675" w:firstLine="0"/>
        <w:jc w:val="both"/>
        <w:rPr>
          <w:rFonts w:ascii="Palatino Linotype" w:cs="Palatino Linotype" w:eastAsia="Palatino Linotype" w:hAnsi="Palatino Linotype"/>
          <w:sz w:val="16"/>
          <w:szCs w:val="16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vertAlign w:val="superscript"/>
          <w:rtl w:val="0"/>
        </w:rPr>
        <w:tab/>
      </w: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rtl w:val="0"/>
        </w:rPr>
        <w:t xml:space="preserve">Universidad UTE, Facultad de Ciencias de la Salud Eugenio Espejo, Centro de Investigación Biomédica (CENBIO), , Quito 170527, Ecuador</w:t>
      </w:r>
    </w:p>
    <w:p w:rsidR="00000000" w:rsidDel="00000000" w:rsidP="00000000" w:rsidRDefault="00000000" w:rsidRPr="00000000" w14:paraId="00000006">
      <w:pPr>
        <w:spacing w:line="240" w:lineRule="auto"/>
        <w:ind w:left="566.9291338582675" w:firstLine="0"/>
        <w:jc w:val="both"/>
        <w:rPr>
          <w:rFonts w:ascii="Palatino Linotype" w:cs="Palatino Linotype" w:eastAsia="Palatino Linotype" w:hAnsi="Palatino Linotype"/>
          <w:sz w:val="16"/>
          <w:szCs w:val="16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vertAlign w:val="superscript"/>
          <w:rtl w:val="0"/>
        </w:rPr>
        <w:tab/>
      </w: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rtl w:val="0"/>
        </w:rPr>
        <w:t xml:space="preserve">Universidad de Las Fuerzas Armadas ESPE, Centro de Nanociencia y Nanotecnología , Sangolquí 171103, Ecuador</w:t>
      </w:r>
    </w:p>
    <w:p w:rsidR="00000000" w:rsidDel="00000000" w:rsidP="00000000" w:rsidRDefault="00000000" w:rsidRPr="00000000" w14:paraId="00000007">
      <w:pPr>
        <w:spacing w:line="240" w:lineRule="auto"/>
        <w:ind w:left="566.9291338582675" w:firstLine="0"/>
        <w:jc w:val="both"/>
        <w:rPr>
          <w:rFonts w:ascii="Palatino Linotype" w:cs="Palatino Linotype" w:eastAsia="Palatino Linotype" w:hAnsi="Palatino Linotype"/>
          <w:sz w:val="16"/>
          <w:szCs w:val="16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vertAlign w:val="superscript"/>
          <w:rtl w:val="0"/>
        </w:rPr>
        <w:t xml:space="preserve">3</w:t>
      </w: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vertAlign w:val="superscript"/>
          <w:rtl w:val="0"/>
        </w:rPr>
        <w:tab/>
      </w: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rtl w:val="0"/>
        </w:rPr>
        <w:t xml:space="preserve">Escuela de Medicina, Colegio de Ciencias de la Salud Quito, Universidad San Francisco de Quito USFQ, Quito, Ecuador.</w:t>
      </w:r>
    </w:p>
    <w:p w:rsidR="00000000" w:rsidDel="00000000" w:rsidP="00000000" w:rsidRDefault="00000000" w:rsidRPr="00000000" w14:paraId="00000008">
      <w:pPr>
        <w:spacing w:line="240" w:lineRule="auto"/>
        <w:ind w:left="566.9291338582675" w:firstLine="0"/>
        <w:jc w:val="both"/>
        <w:rPr>
          <w:rFonts w:ascii="Palatino Linotype" w:cs="Palatino Linotype" w:eastAsia="Palatino Linotype" w:hAnsi="Palatino Linotype"/>
          <w:sz w:val="16"/>
          <w:szCs w:val="16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vertAlign w:val="superscript"/>
          <w:rtl w:val="0"/>
        </w:rPr>
        <w:t xml:space="preserve">4</w:t>
      </w: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vertAlign w:val="superscript"/>
          <w:rtl w:val="0"/>
        </w:rPr>
        <w:tab/>
      </w: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rtl w:val="0"/>
        </w:rPr>
        <w:t xml:space="preserve">Instituto de Microbiología, Universidad San Francisco de Quito USFQ, Quito, Ecuador </w:t>
      </w:r>
    </w:p>
    <w:p w:rsidR="00000000" w:rsidDel="00000000" w:rsidP="00000000" w:rsidRDefault="00000000" w:rsidRPr="00000000" w14:paraId="00000009">
      <w:pPr>
        <w:spacing w:line="240" w:lineRule="auto"/>
        <w:ind w:left="566.9291338582675" w:firstLine="0"/>
        <w:jc w:val="both"/>
        <w:rPr>
          <w:rFonts w:ascii="Palatino Linotype" w:cs="Palatino Linotype" w:eastAsia="Palatino Linotype" w:hAnsi="Palatino Linotype"/>
          <w:sz w:val="16"/>
          <w:szCs w:val="16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vertAlign w:val="superscript"/>
          <w:rtl w:val="0"/>
        </w:rPr>
        <w:t xml:space="preserve">5</w:t>
      </w: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vertAlign w:val="superscript"/>
          <w:rtl w:val="0"/>
        </w:rPr>
        <w:tab/>
      </w: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rtl w:val="0"/>
        </w:rPr>
        <w:t xml:space="preserve"> Universidad Politécnica Salesian, aCarrera de Ingeniería en Biotecnología, Quito, Ecuador</w:t>
      </w:r>
    </w:p>
    <w:p w:rsidR="00000000" w:rsidDel="00000000" w:rsidP="00000000" w:rsidRDefault="00000000" w:rsidRPr="00000000" w14:paraId="0000000A">
      <w:pPr>
        <w:spacing w:line="240" w:lineRule="auto"/>
        <w:ind w:left="566.9291338582675" w:firstLine="0"/>
        <w:jc w:val="both"/>
        <w:rPr>
          <w:rFonts w:ascii="Palatino Linotype" w:cs="Palatino Linotype" w:eastAsia="Palatino Linotype" w:hAnsi="Palatino Linotype"/>
          <w:sz w:val="16"/>
          <w:szCs w:val="16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vertAlign w:val="superscript"/>
          <w:rtl w:val="0"/>
        </w:rPr>
        <w:t xml:space="preserve">6</w:t>
      </w: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vertAlign w:val="superscript"/>
          <w:rtl w:val="0"/>
        </w:rPr>
        <w:tab/>
      </w: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rtl w:val="0"/>
        </w:rPr>
        <w:t xml:space="preserve">Universidad de las Fuerzas Armadas ESPE, Departamento de Ciencias de la Vida y Agricultura, Sangolquí, 171103, Ecuador</w:t>
      </w:r>
    </w:p>
    <w:p w:rsidR="00000000" w:rsidDel="00000000" w:rsidP="00000000" w:rsidRDefault="00000000" w:rsidRPr="00000000" w14:paraId="0000000B">
      <w:pPr>
        <w:spacing w:line="240" w:lineRule="auto"/>
        <w:ind w:left="566.9291338582675" w:firstLine="0"/>
        <w:jc w:val="both"/>
        <w:rPr>
          <w:rFonts w:ascii="Palatino Linotype" w:cs="Palatino Linotype" w:eastAsia="Palatino Linotype" w:hAnsi="Palatino Linotype"/>
          <w:sz w:val="16"/>
          <w:szCs w:val="16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vertAlign w:val="superscript"/>
          <w:rtl w:val="0"/>
        </w:rPr>
        <w:t xml:space="preserve">*</w:t>
      </w: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vertAlign w:val="superscript"/>
          <w:rtl w:val="0"/>
        </w:rPr>
        <w:tab/>
      </w:r>
      <w:r w:rsidDel="00000000" w:rsidR="00000000" w:rsidRPr="00000000">
        <w:rPr>
          <w:rFonts w:ascii="Palatino Linotype" w:cs="Palatino Linotype" w:eastAsia="Palatino Linotype" w:hAnsi="Palatino Linotype"/>
          <w:sz w:val="16"/>
          <w:szCs w:val="16"/>
          <w:rtl w:val="0"/>
        </w:rPr>
        <w:t xml:space="preserve">Correspondence: linda.guaman@ute.edu.ec</w:t>
      </w:r>
    </w:p>
    <w:p w:rsidR="00000000" w:rsidDel="00000000" w:rsidP="00000000" w:rsidRDefault="00000000" w:rsidRPr="00000000" w14:paraId="0000000C">
      <w:pPr>
        <w:spacing w:line="240" w:lineRule="auto"/>
        <w:ind w:left="425.19685039370086" w:hanging="255"/>
        <w:jc w:val="both"/>
        <w:rPr>
          <w:rFonts w:ascii="Palatino Linotype" w:cs="Palatino Linotype" w:eastAsia="Palatino Linotype" w:hAnsi="Palatino Linotype"/>
          <w:sz w:val="16"/>
          <w:szCs w:val="1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jc w:val="both"/>
        <w:rPr>
          <w:rFonts w:ascii="Palatino Linotype" w:cs="Palatino Linotype" w:eastAsia="Palatino Linotype" w:hAnsi="Palatino Linotype"/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222222"/>
          <w:sz w:val="18"/>
          <w:szCs w:val="18"/>
          <w:highlight w:val="white"/>
          <w:rtl w:val="0"/>
        </w:rPr>
        <w:t xml:space="preserve">Supp material Table A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18"/>
          <w:szCs w:val="18"/>
          <w:rtl w:val="0"/>
        </w:rPr>
        <w:t xml:space="preserve">. 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Percentage of Biofilm Inhibition Activity of Mf-AgONPs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0"/>
        <w:gridCol w:w="1050"/>
        <w:gridCol w:w="975"/>
        <w:gridCol w:w="1050"/>
        <w:gridCol w:w="975"/>
        <w:gridCol w:w="1005"/>
        <w:gridCol w:w="900"/>
        <w:gridCol w:w="990"/>
        <w:gridCol w:w="870"/>
        <w:tblGridChange w:id="0">
          <w:tblGrid>
            <w:gridCol w:w="1050"/>
            <w:gridCol w:w="1050"/>
            <w:gridCol w:w="975"/>
            <w:gridCol w:w="1050"/>
            <w:gridCol w:w="975"/>
            <w:gridCol w:w="1005"/>
            <w:gridCol w:w="900"/>
            <w:gridCol w:w="990"/>
            <w:gridCol w:w="870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40" w:before="240" w:line="249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Mf- AgNPs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1"/>
                <w:sz w:val="18"/>
                <w:szCs w:val="18"/>
                <w:rtl w:val="0"/>
              </w:rPr>
              <w:t xml:space="preserve">Staphylococcus aureus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ATCC 25923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1"/>
                <w:sz w:val="18"/>
                <w:szCs w:val="18"/>
                <w:rtl w:val="0"/>
              </w:rPr>
              <w:t xml:space="preserve">Listeria monocytogenes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ATCC 13932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1"/>
                <w:sz w:val="18"/>
                <w:szCs w:val="18"/>
                <w:rtl w:val="0"/>
              </w:rPr>
              <w:t xml:space="preserve">Pseudomonas aeruginosa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ATCC 9027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1"/>
                <w:sz w:val="18"/>
                <w:szCs w:val="18"/>
                <w:rtl w:val="0"/>
              </w:rPr>
              <w:t xml:space="preserve">Burkholderia cepacia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ATCC 25416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ug/mL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SD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72%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46%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91%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89%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10%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71%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75%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16%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87%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12%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44%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N-Inh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42%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12%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36%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14%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14%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12%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29%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12%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8"/>
                <w:szCs w:val="18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33%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12%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N-Inh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25%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14%</w:t>
            </w:r>
          </w:p>
        </w:tc>
      </w:tr>
    </w:tbl>
    <w:p w:rsidR="00000000" w:rsidDel="00000000" w:rsidP="00000000" w:rsidRDefault="00000000" w:rsidRPr="00000000" w14:paraId="00000051">
      <w:pPr>
        <w:widowControl w:val="0"/>
        <w:spacing w:after="240" w:before="240" w:lineRule="auto"/>
        <w:jc w:val="both"/>
        <w:rPr>
          <w:rFonts w:ascii="Palatino Linotype" w:cs="Palatino Linotype" w:eastAsia="Palatino Linotype" w:hAnsi="Palatino Linotype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N-Inh: No biofilm inhibition recorded at the tested concentration</w:t>
      </w:r>
    </w:p>
    <w:p w:rsidR="00000000" w:rsidDel="00000000" w:rsidP="00000000" w:rsidRDefault="00000000" w:rsidRPr="00000000" w14:paraId="00000052">
      <w:pPr>
        <w:widowControl w:val="0"/>
        <w:spacing w:after="240" w:before="240" w:line="249" w:lineRule="auto"/>
        <w:jc w:val="both"/>
        <w:rPr>
          <w:rFonts w:ascii="Palatino Linotype" w:cs="Palatino Linotype" w:eastAsia="Palatino Linotype" w:hAnsi="Palatino Linotype"/>
          <w:b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240" w:before="240" w:line="249" w:lineRule="auto"/>
        <w:jc w:val="both"/>
        <w:rPr>
          <w:rFonts w:ascii="Palatino Linotype" w:cs="Palatino Linotype" w:eastAsia="Palatino Linotype" w:hAnsi="Palatino Linotype"/>
          <w:b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240" w:before="240" w:line="249" w:lineRule="auto"/>
        <w:jc w:val="both"/>
        <w:rPr>
          <w:rFonts w:ascii="Palatino Linotype" w:cs="Palatino Linotype" w:eastAsia="Palatino Linotype" w:hAnsi="Palatino Linotype"/>
          <w:b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240" w:before="240" w:line="249" w:lineRule="auto"/>
        <w:jc w:val="both"/>
        <w:rPr>
          <w:rFonts w:ascii="Palatino Linotype" w:cs="Palatino Linotype" w:eastAsia="Palatino Linotype" w:hAnsi="Palatino Linotype"/>
          <w:b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240" w:before="240" w:line="249" w:lineRule="auto"/>
        <w:jc w:val="both"/>
        <w:rPr>
          <w:rFonts w:ascii="Palatino Linotype" w:cs="Palatino Linotype" w:eastAsia="Palatino Linotype" w:hAnsi="Palatino Linotype"/>
          <w:b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240" w:before="240" w:line="249" w:lineRule="auto"/>
        <w:jc w:val="both"/>
        <w:rPr>
          <w:rFonts w:ascii="Palatino Linotype" w:cs="Palatino Linotype" w:eastAsia="Palatino Linotype" w:hAnsi="Palatino Linotype"/>
          <w:b w:val="1"/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222222"/>
          <w:sz w:val="18"/>
          <w:szCs w:val="18"/>
          <w:highlight w:val="white"/>
          <w:rtl w:val="0"/>
        </w:rPr>
        <w:t xml:space="preserve">Supp material Table B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18"/>
          <w:szCs w:val="18"/>
          <w:rtl w:val="0"/>
        </w:rPr>
        <w:t xml:space="preserve">. 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Antitumor activity of biosynthesized silver oxide nanoparticles and extract. Mean and standard deviation (SD) are presented. This data was used to generate dose-response curves and calculate the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IC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vertAlign w:val="subscript"/>
          <w:rtl w:val="0"/>
        </w:rPr>
        <w:t xml:space="preserve">50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values. 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240" w:before="240" w:line="249" w:lineRule="auto"/>
        <w:jc w:val="both"/>
        <w:rPr>
          <w:rFonts w:ascii="Palatino Linotype" w:cs="Palatino Linotype" w:eastAsia="Palatino Linotype" w:hAnsi="Palatino Linotype"/>
          <w:b w:val="1"/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18"/>
          <w:szCs w:val="18"/>
          <w:rtl w:val="0"/>
        </w:rPr>
        <w:t xml:space="preserve">Mf-AgONPs </w:t>
      </w:r>
    </w:p>
    <w:tbl>
      <w:tblPr>
        <w:tblStyle w:val="Table2"/>
        <w:tblW w:w="8400.18897637795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3.6535433070867"/>
        <w:gridCol w:w="763.6535433070867"/>
        <w:gridCol w:w="763.6535433070867"/>
        <w:gridCol w:w="763.6535433070867"/>
        <w:gridCol w:w="763.6535433070867"/>
        <w:gridCol w:w="763.6535433070867"/>
        <w:gridCol w:w="763.6535433070867"/>
        <w:gridCol w:w="763.6535433070867"/>
        <w:gridCol w:w="763.6535433070867"/>
        <w:gridCol w:w="763.6535433070867"/>
        <w:gridCol w:w="763.6535433070867"/>
        <w:tblGridChange w:id="0">
          <w:tblGrid>
            <w:gridCol w:w="763.6535433070867"/>
            <w:gridCol w:w="763.6535433070867"/>
            <w:gridCol w:w="763.6535433070867"/>
            <w:gridCol w:w="763.6535433070867"/>
            <w:gridCol w:w="763.6535433070867"/>
            <w:gridCol w:w="763.6535433070867"/>
            <w:gridCol w:w="763.6535433070867"/>
            <w:gridCol w:w="763.6535433070867"/>
            <w:gridCol w:w="763.6535433070867"/>
            <w:gridCol w:w="763.6535433070867"/>
            <w:gridCol w:w="763.65354330708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ug/mL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HeLa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HCT116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THJ29T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MDA-MB-231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NIH3T3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before="240" w:lineRule="auto"/>
              <w:jc w:val="both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SD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0.39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98.283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98.3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82.835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82.777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0.78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85.274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11.502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99.847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1.078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85.905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9.274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88.299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1.255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84.546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12.714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1.56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78.758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9.156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95.749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7.447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84.855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8.247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79.928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1.022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78.625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10.303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3.13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78.922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10.78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81.853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2.713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79.942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3.426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66.741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25.375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70.548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19.279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3.91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6.25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19.536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2.876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23.42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1.421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51.863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19.93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47.886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13.74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35.26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4.43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7.81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12.5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19.195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3.578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26.013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8.079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33.039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12.38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41.089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2.168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30.214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3.509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15.63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20.188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3.547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23.833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2.157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30.199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6.996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39.197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4.56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32.922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4.424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31.25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18.727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3.121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24.566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2.253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31.203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5.846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39.066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9.974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37.722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7.195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22.623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27.609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36.757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9">
      <w:pPr>
        <w:widowControl w:val="0"/>
        <w:spacing w:after="240" w:before="240" w:line="249" w:lineRule="auto"/>
        <w:jc w:val="both"/>
        <w:rPr>
          <w:rFonts w:ascii="Palatino Linotype" w:cs="Palatino Linotype" w:eastAsia="Palatino Linotype" w:hAnsi="Palatino Linotype"/>
          <w:b w:val="1"/>
          <w:sz w:val="16"/>
          <w:szCs w:val="16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16"/>
          <w:szCs w:val="16"/>
          <w:rtl w:val="0"/>
        </w:rPr>
        <w:t xml:space="preserve">Mf-extract </w:t>
      </w:r>
    </w:p>
    <w:tbl>
      <w:tblPr>
        <w:tblStyle w:val="Table3"/>
        <w:tblW w:w="8830.48818897637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02.7716535433071"/>
        <w:gridCol w:w="802.7716535433071"/>
        <w:gridCol w:w="802.7716535433071"/>
        <w:gridCol w:w="802.7716535433071"/>
        <w:gridCol w:w="802.7716535433071"/>
        <w:gridCol w:w="802.7716535433071"/>
        <w:gridCol w:w="802.7716535433071"/>
        <w:gridCol w:w="802.7716535433071"/>
        <w:gridCol w:w="802.7716535433071"/>
        <w:gridCol w:w="802.7716535433071"/>
        <w:gridCol w:w="802.7716535433071"/>
        <w:tblGridChange w:id="0">
          <w:tblGrid>
            <w:gridCol w:w="802.7716535433071"/>
            <w:gridCol w:w="802.7716535433071"/>
            <w:gridCol w:w="802.7716535433071"/>
            <w:gridCol w:w="802.7716535433071"/>
            <w:gridCol w:w="802.7716535433071"/>
            <w:gridCol w:w="802.7716535433071"/>
            <w:gridCol w:w="802.7716535433071"/>
            <w:gridCol w:w="802.7716535433071"/>
            <w:gridCol w:w="802.7716535433071"/>
            <w:gridCol w:w="802.7716535433071"/>
            <w:gridCol w:w="802.7716535433071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mg/mL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HeLa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HCT116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THJ29T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MDA-MB-231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NIH3T3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before="24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SD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0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0.08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89.825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0.16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77.095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10.113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99.393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3.371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93.844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6.067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91.508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2.63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83.073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11.92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0.31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71.002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9.601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92.512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5.95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88.435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4.21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83.417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1.797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76.762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7.982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0.63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69.65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9.382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94.299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7.793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93.465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11.482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83.774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5.928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75.02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8.869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1.25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70.629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10.733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87.107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88.818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8.813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81.346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7.464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72.416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6.034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70.179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8.272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86.016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8.183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80.543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4.184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74.949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11.981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66.782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7.741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48.497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15.416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58.918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15.442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63.728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13.394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65.761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13.224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62.87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11.015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18.925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2.278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25.89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7.562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27.134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4.875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41.835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3.696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43.431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before="240" w:lineRule="auto"/>
              <w:jc w:val="center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7.607</w:t>
            </w:r>
          </w:p>
        </w:tc>
      </w:tr>
    </w:tbl>
    <w:p w:rsidR="00000000" w:rsidDel="00000000" w:rsidP="00000000" w:rsidRDefault="00000000" w:rsidRPr="00000000" w14:paraId="00000183">
      <w:pPr>
        <w:widowControl w:val="0"/>
        <w:spacing w:after="240" w:before="240" w:line="249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0"/>
        <w:spacing w:after="240" w:before="240" w:line="249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widowControl w:val="0"/>
        <w:spacing w:after="240" w:before="240" w:line="249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