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5393B" w14:textId="7471689C" w:rsidR="006A3A26" w:rsidRDefault="006A3A26" w:rsidP="006A3A26">
      <w:pPr>
        <w:pStyle w:val="Caption"/>
        <w:keepNext/>
      </w:pPr>
      <w:bookmarkStart w:id="0" w:name="_Ref175781545"/>
      <w:r>
        <w:t>Table</w:t>
      </w:r>
      <w:bookmarkEnd w:id="0"/>
      <w:r>
        <w:t>: Sepsis definitions over time.</w:t>
      </w:r>
    </w:p>
    <w:tbl>
      <w:tblPr>
        <w:tblStyle w:val="GridTable1Light"/>
        <w:tblW w:w="15176" w:type="dxa"/>
        <w:tblLook w:val="04A0" w:firstRow="1" w:lastRow="0" w:firstColumn="1" w:lastColumn="0" w:noHBand="0" w:noVBand="1"/>
      </w:tblPr>
      <w:tblGrid>
        <w:gridCol w:w="1282"/>
        <w:gridCol w:w="12990"/>
        <w:gridCol w:w="904"/>
      </w:tblGrid>
      <w:tr w:rsidR="006A3A26" w:rsidRPr="00DE5D79" w14:paraId="52E51CA0" w14:textId="77777777" w:rsidTr="00A53004">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0" w:type="auto"/>
            <w:hideMark/>
          </w:tcPr>
          <w:p w14:paraId="72815B1B" w14:textId="77777777" w:rsidR="006A3A26" w:rsidRPr="00DE5D79" w:rsidRDefault="006A3A26" w:rsidP="00A53004">
            <w:pPr>
              <w:rPr>
                <w:rFonts w:ascii="Aptos Narrow" w:eastAsia="Times New Roman" w:hAnsi="Aptos Narrow" w:cs="Times New Roman"/>
                <w:kern w:val="0"/>
                <w:sz w:val="18"/>
                <w:szCs w:val="18"/>
                <w:lang w:eastAsia="en-GB"/>
                <w14:ligatures w14:val="none"/>
              </w:rPr>
            </w:pPr>
            <w:r w:rsidRPr="00DE5D79">
              <w:rPr>
                <w:rFonts w:ascii="Aptos Narrow" w:eastAsia="Times New Roman" w:hAnsi="Aptos Narrow" w:cs="Times New Roman"/>
                <w:kern w:val="0"/>
                <w:sz w:val="18"/>
                <w:szCs w:val="18"/>
                <w:lang w:eastAsia="en-GB"/>
                <w14:ligatures w14:val="none"/>
              </w:rPr>
              <w:t>Author</w:t>
            </w:r>
          </w:p>
        </w:tc>
        <w:tc>
          <w:tcPr>
            <w:tcW w:w="0" w:type="auto"/>
            <w:hideMark/>
          </w:tcPr>
          <w:p w14:paraId="6791105E" w14:textId="77777777" w:rsidR="006A3A26" w:rsidRPr="00DE5D79" w:rsidRDefault="006A3A26" w:rsidP="00A53004">
            <w:pPr>
              <w:cnfStyle w:val="100000000000" w:firstRow="1" w:lastRow="0" w:firstColumn="0" w:lastColumn="0" w:oddVBand="0" w:evenVBand="0" w:oddHBand="0" w:evenHBand="0" w:firstRowFirstColumn="0" w:firstRowLastColumn="0" w:lastRowFirstColumn="0" w:lastRowLastColumn="0"/>
              <w:rPr>
                <w:rFonts w:ascii="Aptos Narrow" w:eastAsia="Times New Roman" w:hAnsi="Aptos Narrow" w:cs="Times New Roman"/>
                <w:kern w:val="0"/>
                <w:sz w:val="18"/>
                <w:szCs w:val="18"/>
                <w:lang w:eastAsia="en-GB"/>
                <w14:ligatures w14:val="none"/>
              </w:rPr>
            </w:pPr>
            <w:r w:rsidRPr="00DE5D79">
              <w:rPr>
                <w:rFonts w:ascii="Aptos Narrow" w:eastAsia="Times New Roman" w:hAnsi="Aptos Narrow" w:cs="Times New Roman"/>
                <w:kern w:val="0"/>
                <w:sz w:val="18"/>
                <w:szCs w:val="18"/>
                <w:lang w:eastAsia="en-GB"/>
                <w14:ligatures w14:val="none"/>
              </w:rPr>
              <w:t>Criteria</w:t>
            </w:r>
          </w:p>
        </w:tc>
        <w:tc>
          <w:tcPr>
            <w:tcW w:w="0" w:type="auto"/>
          </w:tcPr>
          <w:p w14:paraId="432DE633" w14:textId="77777777" w:rsidR="006A3A26" w:rsidRPr="00DE5D79" w:rsidRDefault="006A3A26" w:rsidP="00A53004">
            <w:pPr>
              <w:cnfStyle w:val="100000000000" w:firstRow="1" w:lastRow="0" w:firstColumn="0" w:lastColumn="0" w:oddVBand="0" w:evenVBand="0" w:oddHBand="0" w:evenHBand="0" w:firstRowFirstColumn="0" w:firstRowLastColumn="0" w:lastRowFirstColumn="0" w:lastRowLastColumn="0"/>
              <w:rPr>
                <w:rFonts w:ascii="Aptos Narrow" w:eastAsia="Times New Roman" w:hAnsi="Aptos Narrow" w:cs="Times New Roman"/>
                <w:kern w:val="0"/>
                <w:sz w:val="18"/>
                <w:szCs w:val="18"/>
                <w:lang w:eastAsia="en-GB"/>
                <w14:ligatures w14:val="none"/>
              </w:rPr>
            </w:pPr>
            <w:r w:rsidRPr="00DE5D79">
              <w:rPr>
                <w:rFonts w:ascii="Aptos Narrow" w:eastAsia="Times New Roman" w:hAnsi="Aptos Narrow" w:cs="Times New Roman"/>
                <w:kern w:val="0"/>
                <w:sz w:val="18"/>
                <w:szCs w:val="18"/>
                <w:lang w:eastAsia="en-GB"/>
                <w14:ligatures w14:val="none"/>
              </w:rPr>
              <w:t>N° of studies</w:t>
            </w:r>
          </w:p>
        </w:tc>
      </w:tr>
      <w:tr w:rsidR="006A3A26" w:rsidRPr="00DE5D79" w14:paraId="751026B9" w14:textId="77777777" w:rsidTr="00A53004">
        <w:trPr>
          <w:trHeight w:val="290"/>
        </w:trPr>
        <w:tc>
          <w:tcPr>
            <w:cnfStyle w:val="001000000000" w:firstRow="0" w:lastRow="0" w:firstColumn="1" w:lastColumn="0" w:oddVBand="0" w:evenVBand="0" w:oddHBand="0" w:evenHBand="0" w:firstRowFirstColumn="0" w:firstRowLastColumn="0" w:lastRowFirstColumn="0" w:lastRowLastColumn="0"/>
            <w:tcW w:w="0" w:type="auto"/>
            <w:hideMark/>
          </w:tcPr>
          <w:p w14:paraId="3A8807C2" w14:textId="77777777" w:rsidR="006A3A26" w:rsidRPr="00DE5D79" w:rsidRDefault="006A3A26" w:rsidP="00A53004">
            <w:pPr>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Bone et al 1989 </w:t>
            </w:r>
            <w:r w:rsidRPr="00DE5D79">
              <w:rPr>
                <w:rFonts w:ascii="Aptos Narrow" w:eastAsia="Times New Roman" w:hAnsi="Aptos Narrow" w:cs="Times New Roman"/>
                <w:color w:val="000000"/>
                <w:kern w:val="0"/>
                <w:sz w:val="18"/>
                <w:szCs w:val="18"/>
                <w:lang w:eastAsia="en-GB"/>
                <w14:ligatures w14:val="none"/>
              </w:rPr>
              <w:fldChar w:fldCharType="begin"/>
            </w:r>
            <w:r>
              <w:rPr>
                <w:rFonts w:ascii="Aptos Narrow" w:eastAsia="Times New Roman" w:hAnsi="Aptos Narrow" w:cs="Times New Roman"/>
                <w:color w:val="000000"/>
                <w:kern w:val="0"/>
                <w:sz w:val="18"/>
                <w:szCs w:val="18"/>
                <w:lang w:eastAsia="en-GB"/>
                <w14:ligatures w14:val="none"/>
              </w:rPr>
              <w:instrText xml:space="preserve"> ADDIN ZOTERO_ITEM CSL_CITATION {"citationID":"xut96Kiw","properties":{"formattedCitation":"(49)","plainCitation":"(49)","noteIndex":0},"citationItems":[{"id":1753,"uris":["http://zotero.org/users/12218650/items/9NKF3I7D"],"itemData":{"id":1753,"type":"article-journal","abstract":"The sepsis syndrome represents a systemic response to infection and is defined as hypothermia (temperature less than 96 degrees F) or hyperthermia (greater than 101 degrees F), tachycardia (greater than 90 beat/min), tachypnea (greater than 20 breath/min), clinical evidence of an infection site and with at least one end-organ demonstrating inadequate perfusion or dysfunction expressed as poor or altered cerebral function, hypoxemia (PaO2 less than 75 torr), elevated plasma lactate, or oliguria (urine output less than 30 ml/h or 0.5 ml/kg body weight.h without corrective therapy). One hundred ninety-one patients with the sepsis syndrome were evaluated prospectively and comprised the placebo group of a multicenter trial of methylprednisolone in sepsis syndrome and septic shock. Forty-five percent of the patients were found to be bacteremic. Thirty-six percent of the patients were in septic shock (sepsis syndrome plus a systolic BP less than 90 mm Hg or a decrease from baseline in systolic BP greater than 40 mm Hg) on study entry. An additional 23% of the patients developed shock after admission with 70% doing so within 24 h of study entry. Shock reversal occurred with a 73% frequency. Twenty-five percent of the patients developed the adult respiratory distress syndrome (ARDS). Mortality for the patients with sepsis syndrome who did not develop shock was 13%. Mortality for the groups of patients with shock on admission and shock postadmission was 27.5% and 43.2%, respectively. Forty-seven percent of the bacteremic patients developed shock after study admission compared to 29.6% of the nonbacteremic patients (p less than .05).(ABSTRACT TRUNCATED AT 250 WORDS)","container-title":"Critical Care Medicine","ISSN":"0090-3493","issue":"5","journalAbbreviation":"Crit Care Med","language":"eng","note":"PMID: 2651003","page":"389-393","source":"PubMed","title":"Sepsis syndrome: a valid clinical entity. Methylprednisolone Severe Sepsis Study Group","title-short":"Sepsis syndrome","volume":"17","author":[{"family":"Bone","given":"R. C."},{"family":"Fisher","given":"C. J."},{"family":"Clemmer","given":"T. P."},{"family":"Slotman","given":"G. J."},{"family":"Metz","given":"C. A."},{"family":"Balk","given":"R. A."}],"issued":{"date-parts":[["1989",5]]}}}],"schema":"https://github.com/citation-style-language/schema/raw/master/csl-citation.json"} </w:instrText>
            </w:r>
            <w:r w:rsidRPr="00DE5D79">
              <w:rPr>
                <w:rFonts w:ascii="Aptos Narrow" w:eastAsia="Times New Roman" w:hAnsi="Aptos Narrow" w:cs="Times New Roman"/>
                <w:color w:val="000000"/>
                <w:kern w:val="0"/>
                <w:sz w:val="18"/>
                <w:szCs w:val="18"/>
                <w:lang w:eastAsia="en-GB"/>
                <w14:ligatures w14:val="none"/>
              </w:rPr>
              <w:fldChar w:fldCharType="separate"/>
            </w:r>
            <w:r w:rsidRPr="009A6CCB">
              <w:rPr>
                <w:rFonts w:ascii="Aptos Narrow" w:hAnsi="Aptos Narrow"/>
                <w:sz w:val="18"/>
              </w:rPr>
              <w:t>(49)</w:t>
            </w:r>
            <w:r w:rsidRPr="00DE5D79">
              <w:rPr>
                <w:rFonts w:ascii="Aptos Narrow" w:eastAsia="Times New Roman" w:hAnsi="Aptos Narrow" w:cs="Times New Roman"/>
                <w:color w:val="000000"/>
                <w:kern w:val="0"/>
                <w:sz w:val="18"/>
                <w:szCs w:val="18"/>
                <w:lang w:eastAsia="en-GB"/>
                <w14:ligatures w14:val="none"/>
              </w:rPr>
              <w:fldChar w:fldCharType="end"/>
            </w:r>
          </w:p>
        </w:tc>
        <w:tc>
          <w:tcPr>
            <w:tcW w:w="0" w:type="auto"/>
            <w:hideMark/>
          </w:tcPr>
          <w:p w14:paraId="0F9E6AF5"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b/>
                <w:bCs/>
                <w:color w:val="000000"/>
                <w:kern w:val="0"/>
                <w:sz w:val="18"/>
                <w:szCs w:val="18"/>
                <w:lang w:eastAsia="en-GB"/>
                <w14:ligatures w14:val="none"/>
              </w:rPr>
              <w:t>Sepsis syndrome</w:t>
            </w:r>
            <w:r w:rsidRPr="00DE5D79">
              <w:rPr>
                <w:rFonts w:ascii="Aptos Narrow" w:eastAsia="Times New Roman" w:hAnsi="Aptos Narrow" w:cs="Times New Roman"/>
                <w:color w:val="000000"/>
                <w:kern w:val="0"/>
                <w:sz w:val="18"/>
                <w:szCs w:val="18"/>
                <w:lang w:eastAsia="en-GB"/>
                <w14:ligatures w14:val="none"/>
              </w:rPr>
              <w:t xml:space="preserve">: a systemic response to infection defined as: hypothermia (temperature less than 96 degrees F) or hyperthermia (greater than 101 degrees F), tachycardia (greater than 90 beat/min), </w:t>
            </w:r>
            <w:proofErr w:type="spellStart"/>
            <w:r w:rsidRPr="00DE5D79">
              <w:rPr>
                <w:rFonts w:ascii="Aptos Narrow" w:eastAsia="Times New Roman" w:hAnsi="Aptos Narrow" w:cs="Times New Roman"/>
                <w:color w:val="000000"/>
                <w:kern w:val="0"/>
                <w:sz w:val="18"/>
                <w:szCs w:val="18"/>
                <w:lang w:eastAsia="en-GB"/>
                <w14:ligatures w14:val="none"/>
              </w:rPr>
              <w:t>tachypnea</w:t>
            </w:r>
            <w:proofErr w:type="spellEnd"/>
            <w:r w:rsidRPr="00DE5D79">
              <w:rPr>
                <w:rFonts w:ascii="Aptos Narrow" w:eastAsia="Times New Roman" w:hAnsi="Aptos Narrow" w:cs="Times New Roman"/>
                <w:color w:val="000000"/>
                <w:kern w:val="0"/>
                <w:sz w:val="18"/>
                <w:szCs w:val="18"/>
                <w:lang w:eastAsia="en-GB"/>
                <w14:ligatures w14:val="none"/>
              </w:rPr>
              <w:t xml:space="preserve"> (greater than 20 breath/min), clinical evidence of an infection site and with at least one end-organ demonstrating inadequate perfusion or dysfunction expressed as poor or altered cerebral function, hypoxemia (PaO</w:t>
            </w:r>
            <w:r w:rsidRPr="00DE5D79">
              <w:rPr>
                <w:rFonts w:ascii="Aptos Narrow" w:eastAsia="Times New Roman" w:hAnsi="Aptos Narrow" w:cs="Times New Roman"/>
                <w:color w:val="000000"/>
                <w:kern w:val="0"/>
                <w:sz w:val="18"/>
                <w:szCs w:val="18"/>
                <w:vertAlign w:val="subscript"/>
                <w:lang w:eastAsia="en-GB"/>
                <w14:ligatures w14:val="none"/>
              </w:rPr>
              <w:t>2</w:t>
            </w:r>
            <w:r w:rsidRPr="00DE5D79">
              <w:rPr>
                <w:rFonts w:ascii="Aptos Narrow" w:eastAsia="Times New Roman" w:hAnsi="Aptos Narrow" w:cs="Times New Roman"/>
                <w:color w:val="000000"/>
                <w:kern w:val="0"/>
                <w:sz w:val="18"/>
                <w:szCs w:val="18"/>
                <w:lang w:eastAsia="en-GB"/>
                <w14:ligatures w14:val="none"/>
              </w:rPr>
              <w:t xml:space="preserve"> &lt;75 torr), elevated plasma lactate, or oliguria (urine output &lt;30 ml/h or 0.5 ml/kg body weight without corrective therapy). </w:t>
            </w:r>
          </w:p>
          <w:p w14:paraId="4B79E570"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b/>
                <w:bCs/>
                <w:color w:val="000000"/>
                <w:kern w:val="0"/>
                <w:sz w:val="18"/>
                <w:szCs w:val="18"/>
                <w:lang w:eastAsia="en-GB"/>
                <w14:ligatures w14:val="none"/>
              </w:rPr>
              <w:t>Septic shock:</w:t>
            </w:r>
            <w:r w:rsidRPr="00DE5D79">
              <w:rPr>
                <w:rFonts w:ascii="Aptos Narrow" w:eastAsia="Times New Roman" w:hAnsi="Aptos Narrow" w:cs="Times New Roman"/>
                <w:color w:val="000000"/>
                <w:kern w:val="0"/>
                <w:sz w:val="18"/>
                <w:szCs w:val="18"/>
                <w:lang w:eastAsia="en-GB"/>
                <w14:ligatures w14:val="none"/>
              </w:rPr>
              <w:t xml:space="preserve"> sepsis syndrome plus a SBP &lt;90mmHg or a decrease from baseline in SBP &gt;40mmHg)</w:t>
            </w:r>
          </w:p>
        </w:tc>
        <w:tc>
          <w:tcPr>
            <w:tcW w:w="0" w:type="auto"/>
          </w:tcPr>
          <w:p w14:paraId="1E63C884"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2</w:t>
            </w:r>
          </w:p>
        </w:tc>
      </w:tr>
      <w:tr w:rsidR="006A3A26" w:rsidRPr="00DE5D79" w14:paraId="25B45586" w14:textId="77777777" w:rsidTr="00A53004">
        <w:trPr>
          <w:trHeight w:val="580"/>
        </w:trPr>
        <w:tc>
          <w:tcPr>
            <w:cnfStyle w:val="001000000000" w:firstRow="0" w:lastRow="0" w:firstColumn="1" w:lastColumn="0" w:oddVBand="0" w:evenVBand="0" w:oddHBand="0" w:evenHBand="0" w:firstRowFirstColumn="0" w:firstRowLastColumn="0" w:lastRowFirstColumn="0" w:lastRowLastColumn="0"/>
            <w:tcW w:w="0" w:type="auto"/>
            <w:hideMark/>
          </w:tcPr>
          <w:p w14:paraId="07AA7EF2" w14:textId="77777777" w:rsidR="006A3A26" w:rsidRPr="00DE5D79" w:rsidRDefault="006A3A26" w:rsidP="00A53004">
            <w:pPr>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Bone et al 1992 </w:t>
            </w:r>
            <w:r w:rsidRPr="00DE5D79">
              <w:rPr>
                <w:rFonts w:ascii="Aptos Narrow" w:eastAsia="Times New Roman" w:hAnsi="Aptos Narrow" w:cs="Times New Roman"/>
                <w:color w:val="000000"/>
                <w:kern w:val="0"/>
                <w:sz w:val="18"/>
                <w:szCs w:val="18"/>
                <w:lang w:eastAsia="en-GB"/>
                <w14:ligatures w14:val="none"/>
              </w:rPr>
              <w:fldChar w:fldCharType="begin"/>
            </w:r>
            <w:r>
              <w:rPr>
                <w:rFonts w:ascii="Aptos Narrow" w:eastAsia="Times New Roman" w:hAnsi="Aptos Narrow" w:cs="Times New Roman"/>
                <w:color w:val="000000"/>
                <w:kern w:val="0"/>
                <w:sz w:val="18"/>
                <w:szCs w:val="18"/>
                <w:lang w:eastAsia="en-GB"/>
                <w14:ligatures w14:val="none"/>
              </w:rPr>
              <w:instrText xml:space="preserve"> ADDIN ZOTERO_ITEM CSL_CITATION {"citationID":"rewfC9S5","properties":{"formattedCitation":"(50)","plainCitation":"(50)","noteIndex":0},"citationItems":[{"id":1755,"uris":["http://zotero.org/users/12218650/items/U539EB79"],"itemData":{"id":1755,"type":"article-journal","abstract":"An American College of Chest Physicians/Society of Critical Care Medicine Consensus Conference was held in Northbrook in August 1991 with the goal of agreeing on a set of definitions that could be applied to patients with sepsis and its sequelae. New definitions were offered for some terms, while others were discarded. Broad definitions of sepsis and the systemic inflammatory response syndrome were proposed, along with detailed physiologic parameters by which a patient may be categorized. Definitions for severe sepsis, septic shock, hypotension, and multiple organ dysfunction syndrome were also offered. The use of severity scoring methods when dealing with septic patients was recommended as an adjunctive tool to assess mortality. Appropriate methods and applications for the use and testing of new therapies were recommended. The use of these terms and techniques should assist clinicians and researchers who deal with sepsis and its sequelae.","container-title":"Chest","DOI":"10.1378/chest.101.6.1644","ISSN":"0012-3692","issue":"6","journalAbbreviation":"Chest","language":"eng","note":"PMID: 1303622","page":"1644-1655","source":"PubMed","title":"Definitions for sepsis and organ failure and guidelines for the use of innovative therapies in sepsis. The ACCP/SCCM Consensus Conference Committee. American College of Chest Physicians/Society of Critical Care Medicine","volume":"101","author":[{"family":"Bone","given":"R. C."},{"family":"Balk","given":"R. A."},{"family":"Cerra","given":"F. B."},{"family":"Dellinger","given":"R. P."},{"family":"Fein","given":"A. M."},{"family":"Knaus","given":"W. A."},{"family":"Schein","given":"R. M."},{"family":"Sibbald","given":"W. J."}],"issued":{"date-parts":[["1992",6]]}}}],"schema":"https://github.com/citation-style-language/schema/raw/master/csl-citation.json"} </w:instrText>
            </w:r>
            <w:r w:rsidRPr="00DE5D79">
              <w:rPr>
                <w:rFonts w:ascii="Aptos Narrow" w:eastAsia="Times New Roman" w:hAnsi="Aptos Narrow" w:cs="Times New Roman"/>
                <w:color w:val="000000"/>
                <w:kern w:val="0"/>
                <w:sz w:val="18"/>
                <w:szCs w:val="18"/>
                <w:lang w:eastAsia="en-GB"/>
                <w14:ligatures w14:val="none"/>
              </w:rPr>
              <w:fldChar w:fldCharType="separate"/>
            </w:r>
            <w:r w:rsidRPr="009A6CCB">
              <w:rPr>
                <w:rFonts w:ascii="Aptos Narrow" w:hAnsi="Aptos Narrow"/>
                <w:sz w:val="18"/>
              </w:rPr>
              <w:t>(50)</w:t>
            </w:r>
            <w:r w:rsidRPr="00DE5D79">
              <w:rPr>
                <w:rFonts w:ascii="Aptos Narrow" w:eastAsia="Times New Roman" w:hAnsi="Aptos Narrow" w:cs="Times New Roman"/>
                <w:color w:val="000000"/>
                <w:kern w:val="0"/>
                <w:sz w:val="18"/>
                <w:szCs w:val="18"/>
                <w:lang w:eastAsia="en-GB"/>
                <w14:ligatures w14:val="none"/>
              </w:rPr>
              <w:fldChar w:fldCharType="end"/>
            </w:r>
          </w:p>
        </w:tc>
        <w:tc>
          <w:tcPr>
            <w:tcW w:w="0" w:type="auto"/>
            <w:hideMark/>
          </w:tcPr>
          <w:p w14:paraId="32D4C795"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b/>
                <w:bCs/>
                <w:color w:val="000000"/>
                <w:kern w:val="0"/>
                <w:sz w:val="18"/>
                <w:szCs w:val="18"/>
                <w:lang w:eastAsia="en-GB"/>
                <w14:ligatures w14:val="none"/>
              </w:rPr>
              <w:t xml:space="preserve">Sepsis: </w:t>
            </w:r>
            <w:r w:rsidRPr="00DE5D79">
              <w:rPr>
                <w:rFonts w:ascii="Aptos Narrow" w:eastAsia="Times New Roman" w:hAnsi="Aptos Narrow" w:cs="Times New Roman"/>
                <w:color w:val="000000"/>
                <w:kern w:val="0"/>
                <w:sz w:val="18"/>
                <w:szCs w:val="18"/>
                <w:lang w:eastAsia="en-GB"/>
                <w14:ligatures w14:val="none"/>
              </w:rPr>
              <w:t xml:space="preserve">SIRS + a confirmed infectious process. In this clinical circumstance, the term sepsis represents the systemic inflammatory response to the presence of infection. SIRS is defined as more than one of the following clinical manifestations: (1) a body temperature greater than 38°C or less than 36°C; (2) a heart rate greater than 90 beats per minute; (3) </w:t>
            </w:r>
            <w:proofErr w:type="spellStart"/>
            <w:r w:rsidRPr="00DE5D79">
              <w:rPr>
                <w:rFonts w:ascii="Aptos Narrow" w:eastAsia="Times New Roman" w:hAnsi="Aptos Narrow" w:cs="Times New Roman"/>
                <w:color w:val="000000"/>
                <w:kern w:val="0"/>
                <w:sz w:val="18"/>
                <w:szCs w:val="18"/>
                <w:lang w:eastAsia="en-GB"/>
                <w14:ligatures w14:val="none"/>
              </w:rPr>
              <w:t>tachypnea</w:t>
            </w:r>
            <w:proofErr w:type="spellEnd"/>
            <w:r w:rsidRPr="00DE5D79">
              <w:rPr>
                <w:rFonts w:ascii="Aptos Narrow" w:eastAsia="Times New Roman" w:hAnsi="Aptos Narrow" w:cs="Times New Roman"/>
                <w:color w:val="000000"/>
                <w:kern w:val="0"/>
                <w:sz w:val="18"/>
                <w:szCs w:val="18"/>
                <w:lang w:eastAsia="en-GB"/>
                <w14:ligatures w14:val="none"/>
              </w:rPr>
              <w:t xml:space="preserve">, manifested by a respiratory rate greater than 20 breaths per minute, or hyperventilation, as indicated by a PaCO2 of less than 32 mm Hg; and (4) an alteration in the white blood cell count, such as a count greater than 12,000/ cu mm, a count less than 4,000/cu mm, or the presence of more than 10 percent immature neutrophils (“bands”). These physiologic changes should represent an acute alteration from baseline in the absence of other known causes for such abnormalities, such as chemotherapy, induced neutropenia, and leukopenia. Severe sepsis= sepsis associated with organ dysfunction, hypoperfusion, or hypotension. Hypoperfusion and perfusion abnormalities may include, but are not limited to lactic acidosis, oliguria, or an acute alteration in mental status. </w:t>
            </w:r>
            <w:r w:rsidRPr="00DE5D79">
              <w:rPr>
                <w:rFonts w:ascii="Aptos Narrow" w:eastAsia="Times New Roman" w:hAnsi="Aptos Narrow" w:cs="Times New Roman"/>
                <w:b/>
                <w:bCs/>
                <w:color w:val="000000"/>
                <w:kern w:val="0"/>
                <w:sz w:val="18"/>
                <w:szCs w:val="18"/>
                <w:lang w:eastAsia="en-GB"/>
                <w14:ligatures w14:val="none"/>
              </w:rPr>
              <w:t>Septic shock:</w:t>
            </w:r>
            <w:r w:rsidRPr="00DE5D79">
              <w:rPr>
                <w:rFonts w:ascii="Aptos Narrow" w:eastAsia="Times New Roman" w:hAnsi="Aptos Narrow" w:cs="Times New Roman"/>
                <w:color w:val="000000"/>
                <w:kern w:val="0"/>
                <w:sz w:val="18"/>
                <w:szCs w:val="18"/>
                <w:lang w:eastAsia="en-GB"/>
                <w14:ligatures w14:val="none"/>
              </w:rPr>
              <w:t xml:space="preserve"> sepsis-induced with hypotension despite adequate fluid resuscitation along with the presence of perfusion abnormalities that may include, but are not limited to, lactic acidosis, oliguria, or an acute alteration in mental status. Patients who are receiving inotropic or vasopressor agents may not be hypotensive at the time that perfusion abnormalities are measured.</w:t>
            </w:r>
          </w:p>
        </w:tc>
        <w:tc>
          <w:tcPr>
            <w:tcW w:w="0" w:type="auto"/>
          </w:tcPr>
          <w:p w14:paraId="27F9656A"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4</w:t>
            </w:r>
          </w:p>
        </w:tc>
      </w:tr>
      <w:tr w:rsidR="006A3A26" w:rsidRPr="00DE5D79" w14:paraId="04E29E56" w14:textId="77777777" w:rsidTr="00A53004">
        <w:trPr>
          <w:trHeight w:val="870"/>
        </w:trPr>
        <w:tc>
          <w:tcPr>
            <w:cnfStyle w:val="001000000000" w:firstRow="0" w:lastRow="0" w:firstColumn="1" w:lastColumn="0" w:oddVBand="0" w:evenVBand="0" w:oddHBand="0" w:evenHBand="0" w:firstRowFirstColumn="0" w:firstRowLastColumn="0" w:lastRowFirstColumn="0" w:lastRowLastColumn="0"/>
            <w:tcW w:w="0" w:type="auto"/>
            <w:hideMark/>
          </w:tcPr>
          <w:p w14:paraId="1241AA22" w14:textId="77777777" w:rsidR="006A3A26" w:rsidRPr="00DE5D79" w:rsidRDefault="006A3A26" w:rsidP="00A53004">
            <w:pPr>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Levy et al 2003 </w:t>
            </w:r>
            <w:r w:rsidRPr="00DE5D79">
              <w:rPr>
                <w:rFonts w:ascii="Aptos Narrow" w:eastAsia="Times New Roman" w:hAnsi="Aptos Narrow" w:cs="Times New Roman"/>
                <w:color w:val="000000"/>
                <w:kern w:val="0"/>
                <w:sz w:val="18"/>
                <w:szCs w:val="18"/>
                <w:lang w:eastAsia="en-GB"/>
                <w14:ligatures w14:val="none"/>
              </w:rPr>
              <w:fldChar w:fldCharType="begin"/>
            </w:r>
            <w:r>
              <w:rPr>
                <w:rFonts w:ascii="Aptos Narrow" w:eastAsia="Times New Roman" w:hAnsi="Aptos Narrow" w:cs="Times New Roman"/>
                <w:color w:val="000000"/>
                <w:kern w:val="0"/>
                <w:sz w:val="18"/>
                <w:szCs w:val="18"/>
                <w:lang w:eastAsia="en-GB"/>
                <w14:ligatures w14:val="none"/>
              </w:rPr>
              <w:instrText xml:space="preserve"> ADDIN ZOTERO_ITEM CSL_CITATION {"citationID":"WaF74MF0","properties":{"formattedCitation":"(51)","plainCitation":"(51)","noteIndex":0},"citationItems":[{"id":1759,"uris":["http://zotero.org/users/12218650/items/XZT6927H"],"itemData":{"id":1759,"type":"article-journal","abstract":"OBJECTIVE: In 1991, the American College of Chest Physicians (ACCP) and the Society of Critical Care Medicine (SCCM) convened a \"Consensus Conference,\" the goals of which were to \"provide a conceptual and a practical framework to define the systemic inflammatory response to infection, which is a progressive injurious process that falls under the generalized term 'sepsis' and includes sepsis-associated organ dysfunction as well. The general definitions introduced as a result of that conference have been widely used in practice, and have served as the foundation for inclusion criteria for numerous clinical trials of therapeutic interventions. Nevertheless, there has been an impetus from experts in the field to modify these definitions to reflect our current understanding of the pathophysiology of these syndromes.\nDESIGN: Several North American and European intensive care societies agreed to revisit the definitions for sepsis and related conditions. This conference was sponsored by the Society of Critical Care Medicine (SCCM), The European Society of Intensive Care Medicine (ESICM), The American College of Chest Physicians (ACCP), the American Thoracic Society (ATS), and the Surgical Infection Society (SIS).\nMETHODS: 29 participants attended the conference from Europe and North America. In advance of the conference, subgroups were formed to evaluate the following areas: signs and symptoms of sepsis, cell markers, cytokines, microbiologic data, and coagulation parameters. The present manuscript serves as the final report of the 2001 International Sepsis Definitions Conference.\nCONCLUSION: 1. Current concepts of sepsis, severe sepsis and septic shock remain useful to clinicians and researchers. 2. These definitions do not allow precise staging or prognostication of the host response to infection. 3. While SIRS remains a useful concept, the diagnostic criteria for SIRS published in 1992 are overly sensitive and non-specific. 4. An expanded list of signs and symptoms of sepsis may better reflect the clinical response to infection. 6. PIRO, a hypothetical model for staging sepsis is presented, which, in the future, may better characterize the syndrome on the basis of predisposing factors and premorbid conditions, the nature of the underlying infection, the characteristics of the host response, and the extent of the resultant organ dysfunction.","container-title":"Intensive Care Medicine","DOI":"10.1007/s00134-003-1662-x","ISSN":"0342-4642","issue":"4","journalAbbreviation":"Intensive Care Med","language":"eng","note":"PMID: 12664219","page":"530-538","source":"PubMed","title":"2001 SCCM/ESICM/ACCP/ATS/SIS International Sepsis Definitions Conference","volume":"29","author":[{"family":"Levy","given":"Mitchell M."},{"family":"Fink","given":"Mitchell P."},{"family":"Marshall","given":"John C."},{"family":"Abraham","given":"Edward"},{"family":"Angus","given":"Derek"},{"family":"Cook","given":"Deborah"},{"family":"Cohen","given":"Jonathan"},{"family":"Opal","given":"Steven M."},{"family":"Vincent","given":"Jean-Louis"},{"family":"Ramsay","given":"Graham"},{"literal":"International Sepsis Definitions Conference"}],"issued":{"date-parts":[["2003",4]]}}}],"schema":"https://github.com/citation-style-language/schema/raw/master/csl-citation.json"} </w:instrText>
            </w:r>
            <w:r w:rsidRPr="00DE5D79">
              <w:rPr>
                <w:rFonts w:ascii="Aptos Narrow" w:eastAsia="Times New Roman" w:hAnsi="Aptos Narrow" w:cs="Times New Roman"/>
                <w:color w:val="000000"/>
                <w:kern w:val="0"/>
                <w:sz w:val="18"/>
                <w:szCs w:val="18"/>
                <w:lang w:eastAsia="en-GB"/>
                <w14:ligatures w14:val="none"/>
              </w:rPr>
              <w:fldChar w:fldCharType="separate"/>
            </w:r>
            <w:r w:rsidRPr="009A6CCB">
              <w:rPr>
                <w:rFonts w:ascii="Aptos Narrow" w:hAnsi="Aptos Narrow"/>
                <w:sz w:val="18"/>
              </w:rPr>
              <w:t>(51)</w:t>
            </w:r>
            <w:r w:rsidRPr="00DE5D79">
              <w:rPr>
                <w:rFonts w:ascii="Aptos Narrow" w:eastAsia="Times New Roman" w:hAnsi="Aptos Narrow" w:cs="Times New Roman"/>
                <w:color w:val="000000"/>
                <w:kern w:val="0"/>
                <w:sz w:val="18"/>
                <w:szCs w:val="18"/>
                <w:lang w:eastAsia="en-GB"/>
                <w14:ligatures w14:val="none"/>
              </w:rPr>
              <w:fldChar w:fldCharType="end"/>
            </w:r>
          </w:p>
        </w:tc>
        <w:tc>
          <w:tcPr>
            <w:tcW w:w="0" w:type="auto"/>
            <w:hideMark/>
          </w:tcPr>
          <w:p w14:paraId="7C289385"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Sepsis: Infection, a documented or suspected, and some of the following: </w:t>
            </w:r>
          </w:p>
          <w:p w14:paraId="3BB045DC" w14:textId="77777777" w:rsidR="006A3A26" w:rsidRPr="00DE5D79" w:rsidRDefault="006A3A26" w:rsidP="006A3A26">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General variables </w:t>
            </w:r>
          </w:p>
          <w:p w14:paraId="7474DC2A"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Fever (core temperature 38.3°C), </w:t>
            </w:r>
          </w:p>
          <w:p w14:paraId="422F2FE4"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Hypothermia (core temperature 36°C), </w:t>
            </w:r>
          </w:p>
          <w:p w14:paraId="274D28C1"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Heart rate &gt;90/min or 2SD above the normal value for age, </w:t>
            </w:r>
          </w:p>
          <w:p w14:paraId="56212F4E"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proofErr w:type="spellStart"/>
            <w:r w:rsidRPr="00DE5D79">
              <w:rPr>
                <w:rFonts w:ascii="Aptos Narrow" w:eastAsia="Times New Roman" w:hAnsi="Aptos Narrow" w:cs="Times New Roman"/>
                <w:color w:val="000000"/>
                <w:kern w:val="0"/>
                <w:sz w:val="18"/>
                <w:szCs w:val="18"/>
                <w:lang w:eastAsia="en-GB"/>
                <w14:ligatures w14:val="none"/>
              </w:rPr>
              <w:t>Tachypnea</w:t>
            </w:r>
            <w:proofErr w:type="spellEnd"/>
            <w:r w:rsidRPr="00DE5D79">
              <w:rPr>
                <w:rFonts w:ascii="Aptos Narrow" w:eastAsia="Times New Roman" w:hAnsi="Aptos Narrow" w:cs="Times New Roman"/>
                <w:color w:val="000000"/>
                <w:kern w:val="0"/>
                <w:sz w:val="18"/>
                <w:szCs w:val="18"/>
                <w:lang w:eastAsia="en-GB"/>
                <w14:ligatures w14:val="none"/>
              </w:rPr>
              <w:t xml:space="preserve">, </w:t>
            </w:r>
          </w:p>
          <w:p w14:paraId="5220B035"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Altered mental status, </w:t>
            </w:r>
          </w:p>
          <w:p w14:paraId="4B14B82C"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Significant edema or positive fluid balance (20 mL/kg over 24 hrs), </w:t>
            </w:r>
          </w:p>
          <w:p w14:paraId="74EA3E6E"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proofErr w:type="spellStart"/>
            <w:r w:rsidRPr="00DE5D79">
              <w:rPr>
                <w:rFonts w:ascii="Aptos Narrow" w:eastAsia="Times New Roman" w:hAnsi="Aptos Narrow" w:cs="Times New Roman"/>
                <w:color w:val="000000"/>
                <w:kern w:val="0"/>
                <w:sz w:val="18"/>
                <w:szCs w:val="18"/>
                <w:lang w:eastAsia="en-GB"/>
                <w14:ligatures w14:val="none"/>
              </w:rPr>
              <w:t>Hyperglycemia</w:t>
            </w:r>
            <w:proofErr w:type="spellEnd"/>
            <w:r w:rsidRPr="00DE5D79">
              <w:rPr>
                <w:rFonts w:ascii="Aptos Narrow" w:eastAsia="Times New Roman" w:hAnsi="Aptos Narrow" w:cs="Times New Roman"/>
                <w:color w:val="000000"/>
                <w:kern w:val="0"/>
                <w:sz w:val="18"/>
                <w:szCs w:val="18"/>
                <w:lang w:eastAsia="en-GB"/>
                <w14:ligatures w14:val="none"/>
              </w:rPr>
              <w:t xml:space="preserve"> (plasma glucose 120 mg/dL or 7.7 mmol/L) in the absence of diabetes, </w:t>
            </w:r>
          </w:p>
          <w:p w14:paraId="596A08FB" w14:textId="77777777" w:rsidR="006A3A26" w:rsidRPr="00DE5D79" w:rsidRDefault="006A3A26" w:rsidP="006A3A26">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Inflammatory variables </w:t>
            </w:r>
          </w:p>
          <w:p w14:paraId="53E76B4F"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proofErr w:type="spellStart"/>
            <w:r w:rsidRPr="00DE5D79">
              <w:rPr>
                <w:rFonts w:ascii="Aptos Narrow" w:eastAsia="Times New Roman" w:hAnsi="Aptos Narrow" w:cs="Times New Roman"/>
                <w:color w:val="000000"/>
                <w:kern w:val="0"/>
                <w:sz w:val="18"/>
                <w:szCs w:val="18"/>
                <w:lang w:eastAsia="en-GB"/>
                <w14:ligatures w14:val="none"/>
              </w:rPr>
              <w:t>Leukocytosis</w:t>
            </w:r>
            <w:proofErr w:type="spellEnd"/>
            <w:r w:rsidRPr="00DE5D79">
              <w:rPr>
                <w:rFonts w:ascii="Aptos Narrow" w:eastAsia="Times New Roman" w:hAnsi="Aptos Narrow" w:cs="Times New Roman"/>
                <w:color w:val="000000"/>
                <w:kern w:val="0"/>
                <w:sz w:val="18"/>
                <w:szCs w:val="18"/>
                <w:lang w:eastAsia="en-GB"/>
                <w14:ligatures w14:val="none"/>
              </w:rPr>
              <w:t xml:space="preserve"> (WBC count 12,000 L 1), </w:t>
            </w:r>
          </w:p>
          <w:p w14:paraId="700CA5A4"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Leukopenia (WBC count 4000 L 1), </w:t>
            </w:r>
          </w:p>
          <w:p w14:paraId="303B6CA8"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Normal WBC count with 10% immature forms, </w:t>
            </w:r>
          </w:p>
          <w:p w14:paraId="72C4280B"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Plasma C-reactive protein 2 SD above the normal value, </w:t>
            </w:r>
          </w:p>
          <w:p w14:paraId="6A4124FB"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Plasma procalcitonin 2 SD above the normal value, </w:t>
            </w:r>
          </w:p>
          <w:p w14:paraId="60349C1B" w14:textId="77777777" w:rsidR="006A3A26" w:rsidRPr="00DE5D79" w:rsidRDefault="006A3A26" w:rsidP="006A3A26">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Hemodynamic variables: Arterial hypotension (SBP 90 mm Hg, MAP 70, or an SBP decrease 40 mm Hg in adults or 2SD below normal for age), </w:t>
            </w:r>
          </w:p>
          <w:p w14:paraId="5D55995D"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SvO2 70%b, </w:t>
            </w:r>
          </w:p>
          <w:p w14:paraId="37E971A8"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Cardiac index 3.5 L</w:t>
            </w:r>
            <w:r>
              <w:rPr>
                <w:rFonts w:ascii="Aptos Narrow" w:eastAsia="Times New Roman" w:hAnsi="Aptos Narrow" w:cs="Times New Roman"/>
                <w:color w:val="000000"/>
                <w:kern w:val="0"/>
                <w:sz w:val="18"/>
                <w:szCs w:val="18"/>
                <w:lang w:eastAsia="en-GB"/>
                <w14:ligatures w14:val="none"/>
              </w:rPr>
              <w:t>/</w:t>
            </w:r>
            <w:r w:rsidRPr="00DE5D79">
              <w:rPr>
                <w:rFonts w:ascii="Aptos Narrow" w:eastAsia="Times New Roman" w:hAnsi="Aptos Narrow" w:cs="Times New Roman"/>
                <w:color w:val="000000"/>
                <w:kern w:val="0"/>
                <w:sz w:val="18"/>
                <w:szCs w:val="18"/>
                <w:lang w:eastAsia="en-GB"/>
                <w14:ligatures w14:val="none"/>
              </w:rPr>
              <w:t>min</w:t>
            </w:r>
          </w:p>
          <w:p w14:paraId="11BA10F4" w14:textId="77777777" w:rsidR="006A3A26" w:rsidRPr="00DE5D79" w:rsidRDefault="006A3A26" w:rsidP="006A3A26">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Organ dysfunction variables</w:t>
            </w:r>
          </w:p>
          <w:p w14:paraId="2A2908BB"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Arterial hypoxemia (PaO</w:t>
            </w:r>
            <w:r w:rsidRPr="00DE5D79">
              <w:rPr>
                <w:rFonts w:ascii="Aptos Narrow" w:eastAsia="Times New Roman" w:hAnsi="Aptos Narrow" w:cs="Times New Roman"/>
                <w:color w:val="000000"/>
                <w:kern w:val="0"/>
                <w:sz w:val="18"/>
                <w:szCs w:val="18"/>
                <w:vertAlign w:val="subscript"/>
                <w:lang w:eastAsia="en-GB"/>
                <w14:ligatures w14:val="none"/>
              </w:rPr>
              <w:t>2</w:t>
            </w:r>
            <w:r w:rsidRPr="00DE5D79">
              <w:rPr>
                <w:rFonts w:ascii="Aptos Narrow" w:eastAsia="Times New Roman" w:hAnsi="Aptos Narrow" w:cs="Times New Roman"/>
                <w:color w:val="000000"/>
                <w:kern w:val="0"/>
                <w:sz w:val="18"/>
                <w:szCs w:val="18"/>
                <w:lang w:eastAsia="en-GB"/>
                <w14:ligatures w14:val="none"/>
              </w:rPr>
              <w:t>/FIO</w:t>
            </w:r>
            <w:r w:rsidRPr="00DE5D79">
              <w:rPr>
                <w:rFonts w:ascii="Aptos Narrow" w:eastAsia="Times New Roman" w:hAnsi="Aptos Narrow" w:cs="Times New Roman"/>
                <w:color w:val="000000"/>
                <w:kern w:val="0"/>
                <w:sz w:val="18"/>
                <w:szCs w:val="18"/>
                <w:vertAlign w:val="subscript"/>
                <w:lang w:eastAsia="en-GB"/>
                <w14:ligatures w14:val="none"/>
              </w:rPr>
              <w:t>2</w:t>
            </w:r>
            <w:r w:rsidRPr="00DE5D79">
              <w:rPr>
                <w:rFonts w:ascii="Aptos Narrow" w:eastAsia="Times New Roman" w:hAnsi="Aptos Narrow" w:cs="Times New Roman"/>
                <w:color w:val="000000"/>
                <w:kern w:val="0"/>
                <w:sz w:val="18"/>
                <w:szCs w:val="18"/>
                <w:lang w:eastAsia="en-GB"/>
                <w14:ligatures w14:val="none"/>
              </w:rPr>
              <w:t xml:space="preserve"> &lt;300),</w:t>
            </w:r>
          </w:p>
          <w:p w14:paraId="0340A83B"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Acute oliguria (urine output 0.5 mL/kg 1hr 1 or 45 mmol/L for at least 2 hrs), </w:t>
            </w:r>
          </w:p>
          <w:p w14:paraId="62829F0C"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Creatinine increase </w:t>
            </w:r>
            <w:r>
              <w:rPr>
                <w:rFonts w:ascii="Aptos Narrow" w:eastAsia="Times New Roman" w:hAnsi="Aptos Narrow" w:cs="Times New Roman"/>
                <w:color w:val="000000"/>
                <w:kern w:val="0"/>
                <w:sz w:val="18"/>
                <w:szCs w:val="18"/>
                <w:lang w:eastAsia="en-GB"/>
                <w14:ligatures w14:val="none"/>
              </w:rPr>
              <w:t>&gt;</w:t>
            </w:r>
            <w:r w:rsidRPr="00DE5D79">
              <w:rPr>
                <w:rFonts w:ascii="Aptos Narrow" w:eastAsia="Times New Roman" w:hAnsi="Aptos Narrow" w:cs="Times New Roman"/>
                <w:color w:val="000000"/>
                <w:kern w:val="0"/>
                <w:sz w:val="18"/>
                <w:szCs w:val="18"/>
                <w:lang w:eastAsia="en-GB"/>
                <w14:ligatures w14:val="none"/>
              </w:rPr>
              <w:t xml:space="preserve">0.5 mg/dL, </w:t>
            </w:r>
          </w:p>
          <w:p w14:paraId="481C715E"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Coagulation abnormalities (INR 1.5 or </w:t>
            </w:r>
            <w:proofErr w:type="spellStart"/>
            <w:r w:rsidRPr="00DE5D79">
              <w:rPr>
                <w:rFonts w:ascii="Aptos Narrow" w:eastAsia="Times New Roman" w:hAnsi="Aptos Narrow" w:cs="Times New Roman"/>
                <w:color w:val="000000"/>
                <w:kern w:val="0"/>
                <w:sz w:val="18"/>
                <w:szCs w:val="18"/>
                <w:lang w:eastAsia="en-GB"/>
                <w14:ligatures w14:val="none"/>
              </w:rPr>
              <w:t>aPTT</w:t>
            </w:r>
            <w:proofErr w:type="spellEnd"/>
            <w:r w:rsidRPr="00DE5D79">
              <w:rPr>
                <w:rFonts w:ascii="Aptos Narrow" w:eastAsia="Times New Roman" w:hAnsi="Aptos Narrow" w:cs="Times New Roman"/>
                <w:color w:val="000000"/>
                <w:kern w:val="0"/>
                <w:sz w:val="18"/>
                <w:szCs w:val="18"/>
                <w:lang w:eastAsia="en-GB"/>
                <w14:ligatures w14:val="none"/>
              </w:rPr>
              <w:t xml:space="preserve">&gt;60”), </w:t>
            </w:r>
          </w:p>
          <w:p w14:paraId="0636041C"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Ileus (absent bowel sounds), </w:t>
            </w:r>
          </w:p>
          <w:p w14:paraId="61485B4B"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Thrombocytopenia (platelet count 100,000 L 1), </w:t>
            </w:r>
          </w:p>
          <w:p w14:paraId="2FE34422"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val="it-IT" w:eastAsia="en-GB"/>
                <w14:ligatures w14:val="none"/>
              </w:rPr>
            </w:pPr>
            <w:proofErr w:type="spellStart"/>
            <w:r w:rsidRPr="00DE5D79">
              <w:rPr>
                <w:rFonts w:ascii="Aptos Narrow" w:eastAsia="Times New Roman" w:hAnsi="Aptos Narrow" w:cs="Times New Roman"/>
                <w:color w:val="000000"/>
                <w:kern w:val="0"/>
                <w:sz w:val="18"/>
                <w:szCs w:val="18"/>
                <w:lang w:val="it-IT" w:eastAsia="en-GB"/>
                <w14:ligatures w14:val="none"/>
              </w:rPr>
              <w:lastRenderedPageBreak/>
              <w:t>Hyperbilirubinemia</w:t>
            </w:r>
            <w:proofErr w:type="spellEnd"/>
            <w:r w:rsidRPr="00DE5D79">
              <w:rPr>
                <w:rFonts w:ascii="Aptos Narrow" w:eastAsia="Times New Roman" w:hAnsi="Aptos Narrow" w:cs="Times New Roman"/>
                <w:color w:val="000000"/>
                <w:kern w:val="0"/>
                <w:sz w:val="18"/>
                <w:szCs w:val="18"/>
                <w:lang w:val="it-IT" w:eastAsia="en-GB"/>
                <w14:ligatures w14:val="none"/>
              </w:rPr>
              <w:t xml:space="preserve"> (plasma </w:t>
            </w:r>
            <w:proofErr w:type="spellStart"/>
            <w:r w:rsidRPr="00DE5D79">
              <w:rPr>
                <w:rFonts w:ascii="Aptos Narrow" w:eastAsia="Times New Roman" w:hAnsi="Aptos Narrow" w:cs="Times New Roman"/>
                <w:color w:val="000000"/>
                <w:kern w:val="0"/>
                <w:sz w:val="18"/>
                <w:szCs w:val="18"/>
                <w:lang w:val="it-IT" w:eastAsia="en-GB"/>
                <w14:ligatures w14:val="none"/>
              </w:rPr>
              <w:t>total</w:t>
            </w:r>
            <w:proofErr w:type="spellEnd"/>
            <w:r w:rsidRPr="00DE5D79">
              <w:rPr>
                <w:rFonts w:ascii="Aptos Narrow" w:eastAsia="Times New Roman" w:hAnsi="Aptos Narrow" w:cs="Times New Roman"/>
                <w:color w:val="000000"/>
                <w:kern w:val="0"/>
                <w:sz w:val="18"/>
                <w:szCs w:val="18"/>
                <w:lang w:val="it-IT" w:eastAsia="en-GB"/>
                <w14:ligatures w14:val="none"/>
              </w:rPr>
              <w:t xml:space="preserve"> </w:t>
            </w:r>
            <w:proofErr w:type="spellStart"/>
            <w:r w:rsidRPr="00DE5D79">
              <w:rPr>
                <w:rFonts w:ascii="Aptos Narrow" w:eastAsia="Times New Roman" w:hAnsi="Aptos Narrow" w:cs="Times New Roman"/>
                <w:color w:val="000000"/>
                <w:kern w:val="0"/>
                <w:sz w:val="18"/>
                <w:szCs w:val="18"/>
                <w:lang w:val="it-IT" w:eastAsia="en-GB"/>
                <w14:ligatures w14:val="none"/>
              </w:rPr>
              <w:t>bilirubin</w:t>
            </w:r>
            <w:proofErr w:type="spellEnd"/>
            <w:r w:rsidRPr="00DE5D79">
              <w:rPr>
                <w:rFonts w:ascii="Aptos Narrow" w:eastAsia="Times New Roman" w:hAnsi="Aptos Narrow" w:cs="Times New Roman"/>
                <w:color w:val="000000"/>
                <w:kern w:val="0"/>
                <w:sz w:val="18"/>
                <w:szCs w:val="18"/>
                <w:lang w:val="it-IT" w:eastAsia="en-GB"/>
                <w14:ligatures w14:val="none"/>
              </w:rPr>
              <w:t xml:space="preserve"> 4 mg/</w:t>
            </w:r>
            <w:proofErr w:type="spellStart"/>
            <w:r w:rsidRPr="00DE5D79">
              <w:rPr>
                <w:rFonts w:ascii="Aptos Narrow" w:eastAsia="Times New Roman" w:hAnsi="Aptos Narrow" w:cs="Times New Roman"/>
                <w:color w:val="000000"/>
                <w:kern w:val="0"/>
                <w:sz w:val="18"/>
                <w:szCs w:val="18"/>
                <w:lang w:val="it-IT" w:eastAsia="en-GB"/>
                <w14:ligatures w14:val="none"/>
              </w:rPr>
              <w:t>dL</w:t>
            </w:r>
            <w:proofErr w:type="spellEnd"/>
            <w:r w:rsidRPr="00DE5D79">
              <w:rPr>
                <w:rFonts w:ascii="Aptos Narrow" w:eastAsia="Times New Roman" w:hAnsi="Aptos Narrow" w:cs="Times New Roman"/>
                <w:color w:val="000000"/>
                <w:kern w:val="0"/>
                <w:sz w:val="18"/>
                <w:szCs w:val="18"/>
                <w:lang w:val="it-IT" w:eastAsia="en-GB"/>
                <w14:ligatures w14:val="none"/>
              </w:rPr>
              <w:t xml:space="preserve"> or 70 </w:t>
            </w:r>
            <w:proofErr w:type="spellStart"/>
            <w:r w:rsidRPr="00DE5D79">
              <w:rPr>
                <w:rFonts w:ascii="Aptos Narrow" w:eastAsia="Times New Roman" w:hAnsi="Aptos Narrow" w:cs="Times New Roman"/>
                <w:color w:val="000000"/>
                <w:kern w:val="0"/>
                <w:sz w:val="18"/>
                <w:szCs w:val="18"/>
                <w:lang w:val="it-IT" w:eastAsia="en-GB"/>
                <w14:ligatures w14:val="none"/>
              </w:rPr>
              <w:t>mmol</w:t>
            </w:r>
            <w:proofErr w:type="spellEnd"/>
            <w:r w:rsidRPr="00DE5D79">
              <w:rPr>
                <w:rFonts w:ascii="Aptos Narrow" w:eastAsia="Times New Roman" w:hAnsi="Aptos Narrow" w:cs="Times New Roman"/>
                <w:color w:val="000000"/>
                <w:kern w:val="0"/>
                <w:sz w:val="18"/>
                <w:szCs w:val="18"/>
                <w:lang w:val="it-IT" w:eastAsia="en-GB"/>
                <w14:ligatures w14:val="none"/>
              </w:rPr>
              <w:t xml:space="preserve">/L), </w:t>
            </w:r>
          </w:p>
          <w:p w14:paraId="3CB997CE" w14:textId="77777777" w:rsidR="006A3A26" w:rsidRPr="00DE5D79" w:rsidRDefault="006A3A26" w:rsidP="006A3A26">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Tissue perfusion variables </w:t>
            </w:r>
          </w:p>
          <w:p w14:paraId="3701904E"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Hyperlactatemia </w:t>
            </w:r>
            <w:proofErr w:type="gramStart"/>
            <w:r w:rsidRPr="00DE5D79">
              <w:rPr>
                <w:rFonts w:ascii="Aptos Narrow" w:eastAsia="Times New Roman" w:hAnsi="Aptos Narrow" w:cs="Times New Roman"/>
                <w:color w:val="000000"/>
                <w:kern w:val="0"/>
                <w:sz w:val="18"/>
                <w:szCs w:val="18"/>
                <w:lang w:eastAsia="en-GB"/>
                <w14:ligatures w14:val="none"/>
              </w:rPr>
              <w:t>( 1</w:t>
            </w:r>
            <w:proofErr w:type="gramEnd"/>
            <w:r w:rsidRPr="00DE5D79">
              <w:rPr>
                <w:rFonts w:ascii="Aptos Narrow" w:eastAsia="Times New Roman" w:hAnsi="Aptos Narrow" w:cs="Times New Roman"/>
                <w:color w:val="000000"/>
                <w:kern w:val="0"/>
                <w:sz w:val="18"/>
                <w:szCs w:val="18"/>
                <w:lang w:eastAsia="en-GB"/>
                <w14:ligatures w14:val="none"/>
              </w:rPr>
              <w:t xml:space="preserve"> mmol/L), </w:t>
            </w:r>
          </w:p>
          <w:p w14:paraId="5209CB57" w14:textId="77777777" w:rsidR="006A3A26" w:rsidRPr="00DE5D79" w:rsidRDefault="006A3A26" w:rsidP="006A3A26">
            <w:pPr>
              <w:pStyle w:val="ListParagraph"/>
              <w:numPr>
                <w:ilvl w:val="1"/>
                <w:numId w:val="1"/>
              </w:num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Decreased capillary refill or mottling.</w:t>
            </w:r>
            <w:r w:rsidRPr="00DE5D79">
              <w:rPr>
                <w:rFonts w:ascii="Aptos Narrow" w:eastAsia="Times New Roman" w:hAnsi="Aptos Narrow" w:cs="Times New Roman"/>
                <w:b/>
                <w:bCs/>
                <w:color w:val="000000"/>
                <w:kern w:val="0"/>
                <w:sz w:val="18"/>
                <w:szCs w:val="18"/>
                <w:lang w:eastAsia="en-GB"/>
                <w14:ligatures w14:val="none"/>
              </w:rPr>
              <w:t xml:space="preserve"> </w:t>
            </w:r>
          </w:p>
          <w:p w14:paraId="5CCA9BA0"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b/>
                <w:bCs/>
                <w:color w:val="000000"/>
                <w:kern w:val="0"/>
                <w:sz w:val="18"/>
                <w:szCs w:val="18"/>
                <w:lang w:eastAsia="en-GB"/>
                <w14:ligatures w14:val="none"/>
              </w:rPr>
              <w:t xml:space="preserve">Severe sepsis: </w:t>
            </w:r>
            <w:r w:rsidRPr="00DE5D79">
              <w:rPr>
                <w:rFonts w:ascii="Aptos Narrow" w:eastAsia="Times New Roman" w:hAnsi="Aptos Narrow" w:cs="Times New Roman"/>
                <w:color w:val="000000"/>
                <w:kern w:val="0"/>
                <w:sz w:val="18"/>
                <w:szCs w:val="18"/>
                <w:lang w:eastAsia="en-GB"/>
                <w14:ligatures w14:val="none"/>
              </w:rPr>
              <w:t xml:space="preserve">sepsis complicated by organ dysfunction. </w:t>
            </w:r>
            <w:r w:rsidRPr="00DE5D79">
              <w:rPr>
                <w:rFonts w:ascii="Aptos Narrow" w:eastAsia="Times New Roman" w:hAnsi="Aptos Narrow" w:cs="Times New Roman"/>
                <w:b/>
                <w:bCs/>
                <w:color w:val="000000"/>
                <w:kern w:val="0"/>
                <w:sz w:val="18"/>
                <w:szCs w:val="18"/>
                <w:lang w:eastAsia="en-GB"/>
                <w14:ligatures w14:val="none"/>
              </w:rPr>
              <w:t xml:space="preserve">Septic shock </w:t>
            </w:r>
            <w:r w:rsidRPr="00DE5D79">
              <w:rPr>
                <w:rFonts w:ascii="Aptos Narrow" w:eastAsia="Times New Roman" w:hAnsi="Aptos Narrow" w:cs="Times New Roman"/>
                <w:color w:val="000000"/>
                <w:kern w:val="0"/>
                <w:sz w:val="18"/>
                <w:szCs w:val="18"/>
                <w:lang w:eastAsia="en-GB"/>
                <w14:ligatures w14:val="none"/>
              </w:rPr>
              <w:t xml:space="preserve">in adults refers to a state of acute circulatory failure characterized by persistent arterial hypotension unexplained by other causes. Hypotension is defined by </w:t>
            </w:r>
            <w:proofErr w:type="gramStart"/>
            <w:r w:rsidRPr="00DE5D79">
              <w:rPr>
                <w:rFonts w:ascii="Aptos Narrow" w:eastAsia="Times New Roman" w:hAnsi="Aptos Narrow" w:cs="Times New Roman"/>
                <w:color w:val="000000"/>
                <w:kern w:val="0"/>
                <w:sz w:val="18"/>
                <w:szCs w:val="18"/>
                <w:lang w:eastAsia="en-GB"/>
                <w14:ligatures w14:val="none"/>
              </w:rPr>
              <w:t>a</w:t>
            </w:r>
            <w:proofErr w:type="gramEnd"/>
            <w:r w:rsidRPr="00DE5D79">
              <w:rPr>
                <w:rFonts w:ascii="Aptos Narrow" w:eastAsia="Times New Roman" w:hAnsi="Aptos Narrow" w:cs="Times New Roman"/>
                <w:color w:val="000000"/>
                <w:kern w:val="0"/>
                <w:sz w:val="18"/>
                <w:szCs w:val="18"/>
                <w:lang w:eastAsia="en-GB"/>
                <w14:ligatures w14:val="none"/>
              </w:rPr>
              <w:t xml:space="preserve"> SBP&lt;90 mm Hg (or, in children, 2SD below normal for their age), a MAP &lt;60mmHg, or a reduction in SBP of 40 mm Hg from baseline, despite adequate volume resuscitation, in the absence of other causes for hypotension.</w:t>
            </w:r>
          </w:p>
        </w:tc>
        <w:tc>
          <w:tcPr>
            <w:tcW w:w="0" w:type="auto"/>
          </w:tcPr>
          <w:p w14:paraId="63C12CDA"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lastRenderedPageBreak/>
              <w:t>8</w:t>
            </w:r>
          </w:p>
        </w:tc>
      </w:tr>
      <w:tr w:rsidR="006A3A26" w:rsidRPr="00DE5D79" w14:paraId="5C733752" w14:textId="77777777" w:rsidTr="00A53004">
        <w:trPr>
          <w:trHeight w:val="290"/>
        </w:trPr>
        <w:tc>
          <w:tcPr>
            <w:cnfStyle w:val="001000000000" w:firstRow="0" w:lastRow="0" w:firstColumn="1" w:lastColumn="0" w:oddVBand="0" w:evenVBand="0" w:oddHBand="0" w:evenHBand="0" w:firstRowFirstColumn="0" w:firstRowLastColumn="0" w:lastRowFirstColumn="0" w:lastRowLastColumn="0"/>
            <w:tcW w:w="0" w:type="auto"/>
            <w:hideMark/>
          </w:tcPr>
          <w:p w14:paraId="04E0F561" w14:textId="77777777" w:rsidR="006A3A26" w:rsidRPr="00DE5D79" w:rsidRDefault="006A3A26" w:rsidP="00A53004">
            <w:pPr>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Calandra et al 2005 </w:t>
            </w:r>
            <w:r w:rsidRPr="00DE5D79">
              <w:rPr>
                <w:rFonts w:ascii="Aptos Narrow" w:eastAsia="Times New Roman" w:hAnsi="Aptos Narrow" w:cs="Times New Roman"/>
                <w:color w:val="000000"/>
                <w:kern w:val="0"/>
                <w:sz w:val="18"/>
                <w:szCs w:val="18"/>
                <w:lang w:eastAsia="en-GB"/>
                <w14:ligatures w14:val="none"/>
              </w:rPr>
              <w:fldChar w:fldCharType="begin"/>
            </w:r>
            <w:r>
              <w:rPr>
                <w:rFonts w:ascii="Aptos Narrow" w:eastAsia="Times New Roman" w:hAnsi="Aptos Narrow" w:cs="Times New Roman"/>
                <w:color w:val="000000"/>
                <w:kern w:val="0"/>
                <w:sz w:val="18"/>
                <w:szCs w:val="18"/>
                <w:lang w:eastAsia="en-GB"/>
                <w14:ligatures w14:val="none"/>
              </w:rPr>
              <w:instrText xml:space="preserve"> ADDIN ZOTERO_ITEM CSL_CITATION {"citationID":"QzkOSO3D","properties":{"formattedCitation":"(52)","plainCitation":"(52)","noteIndex":0},"citationItems":[{"id":1763,"uris":["http://zotero.org/users/12218650/items/7BI6MFSA"],"itemData":{"id":1763,"type":"article-journal","abstract":"OBJECTIVE: To develop definitions of infection that can be used in clinical trials in patients with sepsis.\nCONTEXT: Infection is a key component of the definition of sepsis, yet there is currently no agreement on the definitions that should be used to identify specific infections in patients with sepsis. Agreeing on a set of valid definitions that can be easily implemented as part of a clinical trial protocol would facilitate patient selection, help classify patients into prospectively defined infection categories, and therefore greatly reduce variability between treatment groups.\nDESIGN AND METHODS: Experts in infectious diseases, clinical microbiology, and critical care medicine were recruited and allocated specific infection sites. They carried out a systematic literature review and used this, and their own experience, to prepare a draft definition. At a subsequent consensus conference, rapporteurs presented the draft definitions, and these were then refined and improved during discussion. Modifications were circulated electronically and subsequently agreed upon as part of an iterative process until consensus was reached.\nRESULT: Consensus definitions of infection were developed for the six most frequent causes of infections in septic patients: pneumonia, bloodstream infections (including infective endocarditis), intravascular catheter-related sepsis, intra-abdominal infections, urosepsis, and surgical wound infections.\nCONCLUSIONS: We have described standardized definitions of the common sites of infection associated with sepsis in critically ill patients. Use of these definitions in clinical trials should help improve the quality of clinical research in this field.","container-title":"Critical Care Medicine","DOI":"10.1097/01.ccm.0000168253.91200.83","ISSN":"0090-3493","issue":"7","journalAbbreviation":"Crit Care Med","language":"eng","note":"PMID: 16003060","page":"1538-1548","source":"PubMed","title":"The international sepsis forum consensus conference on definitions of infection in the intensive care unit","volume":"33","author":[{"family":"Calandra","given":"Thierry"},{"family":"Cohen","given":"Jonathan"},{"literal":"International Sepsis Forum Definition of Infection in the ICU Consensus Conference"}],"issued":{"date-parts":[["2005",7]]}}}],"schema":"https://github.com/citation-style-language/schema/raw/master/csl-citation.json"} </w:instrText>
            </w:r>
            <w:r w:rsidRPr="00DE5D79">
              <w:rPr>
                <w:rFonts w:ascii="Aptos Narrow" w:eastAsia="Times New Roman" w:hAnsi="Aptos Narrow" w:cs="Times New Roman"/>
                <w:color w:val="000000"/>
                <w:kern w:val="0"/>
                <w:sz w:val="18"/>
                <w:szCs w:val="18"/>
                <w:lang w:eastAsia="en-GB"/>
                <w14:ligatures w14:val="none"/>
              </w:rPr>
              <w:fldChar w:fldCharType="separate"/>
            </w:r>
            <w:r w:rsidRPr="009A6CCB">
              <w:rPr>
                <w:rFonts w:ascii="Aptos Narrow" w:hAnsi="Aptos Narrow"/>
                <w:sz w:val="18"/>
              </w:rPr>
              <w:t>(52)</w:t>
            </w:r>
            <w:r w:rsidRPr="00DE5D79">
              <w:rPr>
                <w:rFonts w:ascii="Aptos Narrow" w:eastAsia="Times New Roman" w:hAnsi="Aptos Narrow" w:cs="Times New Roman"/>
                <w:color w:val="000000"/>
                <w:kern w:val="0"/>
                <w:sz w:val="18"/>
                <w:szCs w:val="18"/>
                <w:lang w:eastAsia="en-GB"/>
                <w14:ligatures w14:val="none"/>
              </w:rPr>
              <w:fldChar w:fldCharType="end"/>
            </w:r>
          </w:p>
        </w:tc>
        <w:tc>
          <w:tcPr>
            <w:tcW w:w="0" w:type="auto"/>
            <w:hideMark/>
          </w:tcPr>
          <w:p w14:paraId="45323D31"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Specific definitions were given for the most common infections in ICU: Pneumonias, Blood stream infections, Endocarditis, Catheter related infections, Urinary tract infections, Intra-abdominal infections and skin and soft tissues infections.</w:t>
            </w:r>
          </w:p>
        </w:tc>
        <w:tc>
          <w:tcPr>
            <w:tcW w:w="0" w:type="auto"/>
          </w:tcPr>
          <w:p w14:paraId="3362480F"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1</w:t>
            </w:r>
          </w:p>
        </w:tc>
      </w:tr>
      <w:tr w:rsidR="006A3A26" w:rsidRPr="00DE5D79" w14:paraId="252CFBF5" w14:textId="77777777" w:rsidTr="00A53004">
        <w:trPr>
          <w:trHeight w:val="3190"/>
        </w:trPr>
        <w:tc>
          <w:tcPr>
            <w:cnfStyle w:val="001000000000" w:firstRow="0" w:lastRow="0" w:firstColumn="1" w:lastColumn="0" w:oddVBand="0" w:evenVBand="0" w:oddHBand="0" w:evenHBand="0" w:firstRowFirstColumn="0" w:firstRowLastColumn="0" w:lastRowFirstColumn="0" w:lastRowLastColumn="0"/>
            <w:tcW w:w="0" w:type="auto"/>
            <w:hideMark/>
          </w:tcPr>
          <w:p w14:paraId="4B1E36C1" w14:textId="77777777" w:rsidR="006A3A26" w:rsidRPr="00DE5D79" w:rsidRDefault="006A3A26" w:rsidP="00A53004">
            <w:pPr>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 xml:space="preserve">Singer et al 2016 </w:t>
            </w:r>
            <w:r w:rsidRPr="00DE5D79">
              <w:rPr>
                <w:rFonts w:ascii="Aptos Narrow" w:eastAsia="Times New Roman" w:hAnsi="Aptos Narrow" w:cs="Times New Roman"/>
                <w:color w:val="000000"/>
                <w:kern w:val="0"/>
                <w:sz w:val="18"/>
                <w:szCs w:val="18"/>
                <w:lang w:eastAsia="en-GB"/>
                <w14:ligatures w14:val="none"/>
              </w:rPr>
              <w:fldChar w:fldCharType="begin"/>
            </w:r>
            <w:r>
              <w:rPr>
                <w:rFonts w:ascii="Aptos Narrow" w:eastAsia="Times New Roman" w:hAnsi="Aptos Narrow" w:cs="Times New Roman"/>
                <w:color w:val="000000"/>
                <w:kern w:val="0"/>
                <w:sz w:val="18"/>
                <w:szCs w:val="18"/>
                <w:lang w:eastAsia="en-GB"/>
                <w14:ligatures w14:val="none"/>
              </w:rPr>
              <w:instrText xml:space="preserve"> ADDIN ZOTERO_ITEM CSL_CITATION {"citationID":"pzbTwWTI","properties":{"formattedCitation":"(53)","plainCitation":"(53)","noteIndex":0},"citationItems":[{"id":1895,"uris":["http://zotero.org/users/12218650/items/BPS49BXL"],"itemData":{"id":1895,"type":"article-journal","abstract":"IMPORTANCE: Definitions of sepsis and septic shock were last revised in 2001. Considerable advances have since been made into the pathobiology (changes in organ function, morphology, cell biology, biochemistry, immunology, and circulation), management, and epidemiology of sepsis, suggesting the need for reexamination.\nOBJECTIVE: To evaluate and, as needed, update definitions for sepsis and septic shock.\nPROCESS: A task force (n</w:instrText>
            </w:r>
            <w:r>
              <w:rPr>
                <w:rFonts w:ascii="Arial" w:eastAsia="Times New Roman" w:hAnsi="Arial" w:cs="Arial"/>
                <w:color w:val="000000"/>
                <w:kern w:val="0"/>
                <w:sz w:val="18"/>
                <w:szCs w:val="18"/>
                <w:lang w:eastAsia="en-GB"/>
                <w14:ligatures w14:val="none"/>
              </w:rPr>
              <w:instrText> </w:instrText>
            </w:r>
            <w:r>
              <w:rPr>
                <w:rFonts w:ascii="Aptos Narrow" w:eastAsia="Times New Roman" w:hAnsi="Aptos Narrow" w:cs="Times New Roman"/>
                <w:color w:val="000000"/>
                <w:kern w:val="0"/>
                <w:sz w:val="18"/>
                <w:szCs w:val="18"/>
                <w:lang w:eastAsia="en-GB"/>
                <w14:ligatures w14:val="none"/>
              </w:rPr>
              <w:instrText>=</w:instrText>
            </w:r>
            <w:r>
              <w:rPr>
                <w:rFonts w:ascii="Arial" w:eastAsia="Times New Roman" w:hAnsi="Arial" w:cs="Arial"/>
                <w:color w:val="000000"/>
                <w:kern w:val="0"/>
                <w:sz w:val="18"/>
                <w:szCs w:val="18"/>
                <w:lang w:eastAsia="en-GB"/>
                <w14:ligatures w14:val="none"/>
              </w:rPr>
              <w:instrText> </w:instrText>
            </w:r>
            <w:r>
              <w:rPr>
                <w:rFonts w:ascii="Aptos Narrow" w:eastAsia="Times New Roman" w:hAnsi="Aptos Narrow" w:cs="Times New Roman"/>
                <w:color w:val="000000"/>
                <w:kern w:val="0"/>
                <w:sz w:val="18"/>
                <w:szCs w:val="18"/>
                <w:lang w:eastAsia="en-GB"/>
                <w14:ligatures w14:val="none"/>
              </w:rPr>
              <w:instrText xml:space="preserve">19) with expertise in sepsis pathobiology, clinical trials, and epidemiology was convened by the Society of Critical Care Medicine and the European Society of Intensive Care Medicine. Definitions and clinical criteria were generated through meetings, Delphi processes, analysis of electronic health record databases, and voting, followed by circulation to international professional societies, requesting peer review and endorsement (by 31 societies listed in the Acknowledgment).\nKEY FINDINGS FROM EVIDENCE SYNTHESIS: Limitations of previous definitions included an excessive focus on inflammation, the misleading model that sepsis follows a continuum through severe sepsis to shock, and inadequate specificity and sensitivity of the systemic inflammatory response syndrome (SIRS) criteria. Multiple definitions and terminologies are currently in use for sepsis, septic shock, and organ dysfunction, leading to discrepancies in reported incidence and observed mortality. The task force concluded the term severe sepsis was redundant.\nRECOMMENDATIONS: Sepsis should be defined as life-threatening organ dysfunction caused by a dysregulated host response to infection. For clinical operationalization, organ dysfunction can be represented by an increase in the Sequential [Sepsis-related] Organ Failure Assessment (SOFA) score of 2 points or more, which is associated with an in-hospital mortality greater than 10%. Septic shock should be defined as a subset of sepsis in which particularly profound circulatory, cellular, and metabolic abnormalities are associated with a greater risk of mortality than with sepsis alone. Patients with septic shock can be clinically identified by a vasopressor requirement to maintain a mean arterial pressure of 65 mm Hg or greater and serum lactate level greater than 2 mmol/L (&gt;18 mg/dL) in the absence of hypovolemia. This combination is associated with hospital mortality rates greater than 40%. In out-of-hospital, emergency department, or general hospital ward settings, adult patients with suspected infection can be rapidly identified as being more likely to have poor outcomes typical of sepsis if they have at least 2 of the following clinical criteria that together constitute a new bedside clinical score termed quickSOFA (qSOFA): respiratory rate of 22/min or greater, altered mentation, or systolic blood pressure of 100 mm Hg or less.\nCONCLUSIONS AND RELEVANCE: These updated definitions and clinical criteria should replace previous definitions, offer greater consistency for epidemiologic studies and clinical trials, and facilitate earlier recognition and more timely management of patients with sepsis or at risk of developing sepsis.","container-title":"JAMA","DOI":"10.1001/jama.2016.0287","ISSN":"1538-3598","issue":"8","journalAbbreviation":"JAMA","language":"eng","note":"PMID: 26903338\nPMCID: PMC4968574","page":"801-810","source":"PubMed","title":"The Third International Consensus Definitions for Sepsis and Septic Shock (Sepsis-3)","volume":"315","author":[{"family":"Singer","given":"Mervyn"},{"family":"Deutschman","given":"Clifford S."},{"family":"Seymour","given":"Christopher Warren"},{"family":"Shankar-Hari","given":"Manu"},{"family":"Annane","given":"Djillali"},{"family":"Bauer","given":"Michael"},{"family":"Bellomo","given":"Rinaldo"},{"family":"Bernard","given":"Gordon R."},{"family":"Chiche","given":"Jean-Daniel"},{"family":"Coopersmith","given":"Craig M."},{"family":"Hotchkiss","given":"Richard S."},{"family":"Levy","given":"Mitchell M."},{"family":"Marshall","given":"John C."},{"family":"Martin","given":"Greg S."},{"family":"Opal","given":"Steven M."},{"family":"Rubenfeld","given":"Gordon D."},{"family":"Poll","given":"Tom","non-dropping-particle":"van der"},{"family":"Vincent","given":"Jean-Louis"},{"family":"Angus","given":"Derek C."}],"issued":{"date-parts":[["2016",2,23]]}}}],"schema":"https://github.com/citation-style-language/schema/raw/master/csl-citation.json"} </w:instrText>
            </w:r>
            <w:r w:rsidRPr="00DE5D79">
              <w:rPr>
                <w:rFonts w:ascii="Aptos Narrow" w:eastAsia="Times New Roman" w:hAnsi="Aptos Narrow" w:cs="Times New Roman"/>
                <w:color w:val="000000"/>
                <w:kern w:val="0"/>
                <w:sz w:val="18"/>
                <w:szCs w:val="18"/>
                <w:lang w:eastAsia="en-GB"/>
                <w14:ligatures w14:val="none"/>
              </w:rPr>
              <w:fldChar w:fldCharType="separate"/>
            </w:r>
            <w:r w:rsidRPr="009A6CCB">
              <w:rPr>
                <w:rFonts w:ascii="Aptos Narrow" w:hAnsi="Aptos Narrow"/>
                <w:sz w:val="18"/>
              </w:rPr>
              <w:t>(53)</w:t>
            </w:r>
            <w:r w:rsidRPr="00DE5D79">
              <w:rPr>
                <w:rFonts w:ascii="Aptos Narrow" w:eastAsia="Times New Roman" w:hAnsi="Aptos Narrow" w:cs="Times New Roman"/>
                <w:color w:val="000000"/>
                <w:kern w:val="0"/>
                <w:sz w:val="18"/>
                <w:szCs w:val="18"/>
                <w:lang w:eastAsia="en-GB"/>
                <w14:ligatures w14:val="none"/>
              </w:rPr>
              <w:fldChar w:fldCharType="end"/>
            </w:r>
          </w:p>
        </w:tc>
        <w:tc>
          <w:tcPr>
            <w:tcW w:w="0" w:type="auto"/>
            <w:hideMark/>
          </w:tcPr>
          <w:p w14:paraId="61276E84"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b/>
                <w:bCs/>
                <w:color w:val="000000"/>
                <w:kern w:val="0"/>
                <w:sz w:val="18"/>
                <w:szCs w:val="18"/>
                <w:lang w:eastAsia="en-GB"/>
                <w14:ligatures w14:val="none"/>
              </w:rPr>
              <w:t>Sepsis</w:t>
            </w:r>
            <w:r w:rsidRPr="00DE5D79">
              <w:rPr>
                <w:rFonts w:ascii="Aptos Narrow" w:eastAsia="Times New Roman" w:hAnsi="Aptos Narrow" w:cs="Times New Roman"/>
                <w:color w:val="000000"/>
                <w:kern w:val="0"/>
                <w:sz w:val="18"/>
                <w:szCs w:val="18"/>
                <w:lang w:eastAsia="en-GB"/>
                <w14:ligatures w14:val="none"/>
              </w:rPr>
              <w:t xml:space="preserve"> is defined as life-threatening organ dysfunction caused by a dysregulated host response to infection. Organ dysfunction can be identified as an acute change in total SOFA score ≥2 points consequent to the infection. </w:t>
            </w:r>
          </w:p>
          <w:p w14:paraId="40C7A714"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b/>
                <w:bCs/>
                <w:color w:val="000000"/>
                <w:kern w:val="0"/>
                <w:sz w:val="18"/>
                <w:szCs w:val="18"/>
                <w:lang w:eastAsia="en-GB"/>
                <w14:ligatures w14:val="none"/>
              </w:rPr>
              <w:t>Septic shock</w:t>
            </w:r>
            <w:r w:rsidRPr="00DE5D79">
              <w:rPr>
                <w:rFonts w:ascii="Aptos Narrow" w:eastAsia="Times New Roman" w:hAnsi="Aptos Narrow" w:cs="Times New Roman"/>
                <w:color w:val="000000"/>
                <w:kern w:val="0"/>
                <w:sz w:val="18"/>
                <w:szCs w:val="18"/>
                <w:lang w:eastAsia="en-GB"/>
                <w14:ligatures w14:val="none"/>
              </w:rPr>
              <w:t xml:space="preserve"> is a subset of sepsis in which underlying circulatory and cellular/metabolic abnormalities are profound enough to substantially increase mortality. Patients with septic shock can be identified with a clinical construct of sepsis with persisting hypotension requiring vasopressors to maintain MAP ≥65 mmHg and having a serum lactate level &gt;2 mmol/L despite adequate volume resuscitation.</w:t>
            </w:r>
          </w:p>
        </w:tc>
        <w:tc>
          <w:tcPr>
            <w:tcW w:w="0" w:type="auto"/>
          </w:tcPr>
          <w:p w14:paraId="46617E09"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7</w:t>
            </w:r>
          </w:p>
        </w:tc>
      </w:tr>
      <w:tr w:rsidR="006A3A26" w:rsidRPr="00DE5D79" w14:paraId="5FA5EA94" w14:textId="77777777" w:rsidTr="00A53004">
        <w:trPr>
          <w:trHeight w:val="3190"/>
        </w:trPr>
        <w:tc>
          <w:tcPr>
            <w:cnfStyle w:val="001000000000" w:firstRow="0" w:lastRow="0" w:firstColumn="1" w:lastColumn="0" w:oddVBand="0" w:evenVBand="0" w:oddHBand="0" w:evenHBand="0" w:firstRowFirstColumn="0" w:firstRowLastColumn="0" w:lastRowFirstColumn="0" w:lastRowLastColumn="0"/>
            <w:tcW w:w="0" w:type="auto"/>
          </w:tcPr>
          <w:p w14:paraId="49CAB3EE" w14:textId="77777777" w:rsidR="006A3A26" w:rsidRPr="00DE5D79" w:rsidRDefault="006A3A26" w:rsidP="00A53004">
            <w:pPr>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Sepsis def not specified</w:t>
            </w:r>
          </w:p>
        </w:tc>
        <w:tc>
          <w:tcPr>
            <w:tcW w:w="0" w:type="auto"/>
          </w:tcPr>
          <w:p w14:paraId="006587B5"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w:t>
            </w:r>
          </w:p>
        </w:tc>
        <w:tc>
          <w:tcPr>
            <w:tcW w:w="0" w:type="auto"/>
          </w:tcPr>
          <w:p w14:paraId="5213E0DA" w14:textId="77777777" w:rsidR="006A3A26" w:rsidRPr="00DE5D79" w:rsidRDefault="006A3A26" w:rsidP="00A53004">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kern w:val="0"/>
                <w:sz w:val="18"/>
                <w:szCs w:val="18"/>
                <w:lang w:eastAsia="en-GB"/>
                <w14:ligatures w14:val="none"/>
              </w:rPr>
            </w:pPr>
            <w:r w:rsidRPr="00DE5D79">
              <w:rPr>
                <w:rFonts w:ascii="Aptos Narrow" w:eastAsia="Times New Roman" w:hAnsi="Aptos Narrow" w:cs="Times New Roman"/>
                <w:color w:val="000000"/>
                <w:kern w:val="0"/>
                <w:sz w:val="18"/>
                <w:szCs w:val="18"/>
                <w:lang w:eastAsia="en-GB"/>
                <w14:ligatures w14:val="none"/>
              </w:rPr>
              <w:t>3</w:t>
            </w:r>
          </w:p>
        </w:tc>
      </w:tr>
    </w:tbl>
    <w:p w14:paraId="37C25388" w14:textId="77777777" w:rsidR="008127FD" w:rsidRDefault="008127FD"/>
    <w:sectPr w:rsidR="008127FD" w:rsidSect="006A3A26">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E476F"/>
    <w:multiLevelType w:val="hybridMultilevel"/>
    <w:tmpl w:val="72FC97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6615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A26"/>
    <w:rsid w:val="0017705A"/>
    <w:rsid w:val="006A3A26"/>
    <w:rsid w:val="006E0EEF"/>
    <w:rsid w:val="008127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C27BD"/>
  <w15:chartTrackingRefBased/>
  <w15:docId w15:val="{F63CB1B0-4FDA-434C-BBFC-E893FFFB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A26"/>
    <w:rPr>
      <w:kern w:val="2"/>
    </w:rPr>
  </w:style>
  <w:style w:type="paragraph" w:styleId="Heading1">
    <w:name w:val="heading 1"/>
    <w:basedOn w:val="Normal"/>
    <w:next w:val="Normal"/>
    <w:link w:val="Heading1Char"/>
    <w:uiPriority w:val="9"/>
    <w:qFormat/>
    <w:rsid w:val="006A3A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A3A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A3A2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A3A2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A3A2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A3A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3A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3A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3A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A2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A3A2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A3A2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A3A2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A3A2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A3A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A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A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A26"/>
    <w:rPr>
      <w:rFonts w:eastAsiaTheme="majorEastAsia" w:cstheme="majorBidi"/>
      <w:color w:val="272727" w:themeColor="text1" w:themeTint="D8"/>
    </w:rPr>
  </w:style>
  <w:style w:type="paragraph" w:styleId="Title">
    <w:name w:val="Title"/>
    <w:basedOn w:val="Normal"/>
    <w:next w:val="Normal"/>
    <w:link w:val="TitleChar"/>
    <w:uiPriority w:val="10"/>
    <w:qFormat/>
    <w:rsid w:val="006A3A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A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A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A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A26"/>
    <w:pPr>
      <w:spacing w:before="160"/>
      <w:jc w:val="center"/>
    </w:pPr>
    <w:rPr>
      <w:i/>
      <w:iCs/>
      <w:color w:val="404040" w:themeColor="text1" w:themeTint="BF"/>
    </w:rPr>
  </w:style>
  <w:style w:type="character" w:customStyle="1" w:styleId="QuoteChar">
    <w:name w:val="Quote Char"/>
    <w:basedOn w:val="DefaultParagraphFont"/>
    <w:link w:val="Quote"/>
    <w:uiPriority w:val="29"/>
    <w:rsid w:val="006A3A26"/>
    <w:rPr>
      <w:i/>
      <w:iCs/>
      <w:color w:val="404040" w:themeColor="text1" w:themeTint="BF"/>
    </w:rPr>
  </w:style>
  <w:style w:type="paragraph" w:styleId="ListParagraph">
    <w:name w:val="List Paragraph"/>
    <w:basedOn w:val="Normal"/>
    <w:uiPriority w:val="34"/>
    <w:qFormat/>
    <w:rsid w:val="006A3A26"/>
    <w:pPr>
      <w:ind w:left="720"/>
      <w:contextualSpacing/>
    </w:pPr>
  </w:style>
  <w:style w:type="character" w:styleId="IntenseEmphasis">
    <w:name w:val="Intense Emphasis"/>
    <w:basedOn w:val="DefaultParagraphFont"/>
    <w:uiPriority w:val="21"/>
    <w:qFormat/>
    <w:rsid w:val="006A3A26"/>
    <w:rPr>
      <w:i/>
      <w:iCs/>
      <w:color w:val="2F5496" w:themeColor="accent1" w:themeShade="BF"/>
    </w:rPr>
  </w:style>
  <w:style w:type="paragraph" w:styleId="IntenseQuote">
    <w:name w:val="Intense Quote"/>
    <w:basedOn w:val="Normal"/>
    <w:next w:val="Normal"/>
    <w:link w:val="IntenseQuoteChar"/>
    <w:uiPriority w:val="30"/>
    <w:qFormat/>
    <w:rsid w:val="006A3A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A3A26"/>
    <w:rPr>
      <w:i/>
      <w:iCs/>
      <w:color w:val="2F5496" w:themeColor="accent1" w:themeShade="BF"/>
    </w:rPr>
  </w:style>
  <w:style w:type="character" w:styleId="IntenseReference">
    <w:name w:val="Intense Reference"/>
    <w:basedOn w:val="DefaultParagraphFont"/>
    <w:uiPriority w:val="32"/>
    <w:qFormat/>
    <w:rsid w:val="006A3A26"/>
    <w:rPr>
      <w:b/>
      <w:bCs/>
      <w:smallCaps/>
      <w:color w:val="2F5496" w:themeColor="accent1" w:themeShade="BF"/>
      <w:spacing w:val="5"/>
    </w:rPr>
  </w:style>
  <w:style w:type="paragraph" w:styleId="Caption">
    <w:name w:val="caption"/>
    <w:basedOn w:val="Normal"/>
    <w:next w:val="Normal"/>
    <w:uiPriority w:val="35"/>
    <w:unhideWhenUsed/>
    <w:qFormat/>
    <w:rsid w:val="006A3A26"/>
    <w:pPr>
      <w:spacing w:after="200" w:line="240" w:lineRule="auto"/>
    </w:pPr>
    <w:rPr>
      <w:i/>
      <w:iCs/>
      <w:color w:val="44546A" w:themeColor="text2"/>
      <w:sz w:val="18"/>
      <w:szCs w:val="18"/>
    </w:rPr>
  </w:style>
  <w:style w:type="table" w:styleId="GridTable1Light">
    <w:name w:val="Grid Table 1 Light"/>
    <w:basedOn w:val="TableNormal"/>
    <w:uiPriority w:val="46"/>
    <w:rsid w:val="006A3A26"/>
    <w:pPr>
      <w:spacing w:after="0" w:line="240" w:lineRule="auto"/>
    </w:pPr>
    <w:rPr>
      <w:kern w:val="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3089</Words>
  <Characters>17610</Characters>
  <Application>Microsoft Office Word</Application>
  <DocSecurity>0</DocSecurity>
  <Lines>146</Lines>
  <Paragraphs>41</Paragraphs>
  <ScaleCrop>false</ScaleCrop>
  <Company/>
  <LinksUpToDate>false</LinksUpToDate>
  <CharactersWithSpaces>20658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Giada Cucciolini</dc:creator>
  <cp:keywords/>
  <dc:description/>
  <cp:lastModifiedBy>Giada Cucciolini</cp:lastModifiedBy>
  <cp:revision>1</cp:revision>
  <dcterms:created xsi:type="dcterms:W3CDTF">2024-09-03T22:50:00Z</dcterms:created>
  <dcterms:modified xsi:type="dcterms:W3CDTF">2024-09-03T22:51:00Z</dcterms:modified>
</cp:coreProperties>
</file>