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3CB6F" w14:textId="77777777" w:rsidR="00EA4CB9" w:rsidRPr="00800544" w:rsidRDefault="00EA4CB9" w:rsidP="00EA4CB9">
      <w:pPr>
        <w:spacing w:line="360" w:lineRule="auto"/>
        <w:jc w:val="center"/>
        <w:rPr>
          <w:sz w:val="32"/>
          <w:szCs w:val="32"/>
        </w:rPr>
      </w:pPr>
      <w:r w:rsidRPr="00CA5AAA">
        <w:rPr>
          <w:b/>
          <w:bCs/>
          <w:sz w:val="32"/>
          <w:szCs w:val="32"/>
        </w:rPr>
        <w:t>Supplementary Figures</w:t>
      </w:r>
    </w:p>
    <w:p w14:paraId="37F04D5F" w14:textId="77777777" w:rsidR="00EA4CB9" w:rsidRPr="00CA5AAA" w:rsidRDefault="00EA4CB9" w:rsidP="00EA4CB9">
      <w:pPr>
        <w:spacing w:line="360" w:lineRule="auto"/>
        <w:jc w:val="left"/>
        <w:rPr>
          <w:b/>
          <w:bCs/>
          <w:sz w:val="24"/>
          <w:szCs w:val="24"/>
        </w:rPr>
      </w:pPr>
      <w:r w:rsidRPr="00CA5AAA">
        <w:rPr>
          <w:b/>
          <w:bCs/>
          <w:sz w:val="24"/>
          <w:szCs w:val="24"/>
        </w:rPr>
        <w:t>Fig. S1</w:t>
      </w:r>
    </w:p>
    <w:p w14:paraId="18D50C82" w14:textId="77777777" w:rsidR="00EA4CB9" w:rsidRPr="00583B9D" w:rsidRDefault="00EA4CB9" w:rsidP="00EA4CB9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3CE6F5E" wp14:editId="61934EF9">
            <wp:extent cx="6645910" cy="2256790"/>
            <wp:effectExtent l="0" t="0" r="0" b="3810"/>
            <wp:docPr id="980320928" name="Picture 1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20928" name="Picture 1" descr="A screenshot of a computer screen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8648" w14:textId="77777777" w:rsidR="00EA4CB9" w:rsidRPr="00583B9D" w:rsidRDefault="00EA4CB9" w:rsidP="00EA4CB9">
      <w:pPr>
        <w:snapToGrid w:val="0"/>
        <w:spacing w:line="240" w:lineRule="auto"/>
        <w:contextualSpacing/>
        <w:rPr>
          <w:sz w:val="18"/>
          <w:szCs w:val="18"/>
        </w:rPr>
      </w:pPr>
      <w:r w:rsidRPr="00583B9D">
        <w:rPr>
          <w:b/>
          <w:bCs/>
          <w:sz w:val="18"/>
          <w:szCs w:val="18"/>
        </w:rPr>
        <w:t xml:space="preserve">Figure S1. </w:t>
      </w:r>
      <w:r w:rsidRPr="00583B9D">
        <w:rPr>
          <w:sz w:val="18"/>
          <w:szCs w:val="18"/>
        </w:rPr>
        <w:t>Transgenic</w:t>
      </w:r>
      <w:r w:rsidRPr="00583B9D">
        <w:rPr>
          <w:b/>
          <w:bCs/>
          <w:sz w:val="18"/>
          <w:szCs w:val="18"/>
        </w:rPr>
        <w:t xml:space="preserve"> </w:t>
      </w:r>
      <w:r w:rsidRPr="00583B9D">
        <w:rPr>
          <w:sz w:val="18"/>
          <w:szCs w:val="18"/>
        </w:rPr>
        <w:t>sporozoite</w:t>
      </w:r>
      <w:r>
        <w:rPr>
          <w:sz w:val="18"/>
          <w:szCs w:val="18"/>
        </w:rPr>
        <w:t>-</w:t>
      </w:r>
      <w:r w:rsidRPr="00583B9D">
        <w:rPr>
          <w:sz w:val="18"/>
          <w:szCs w:val="18"/>
        </w:rPr>
        <w:t xml:space="preserve">neutralizing activity. </w:t>
      </w:r>
      <w:r w:rsidRPr="00583B9D">
        <w:rPr>
          <w:b/>
          <w:bCs/>
          <w:sz w:val="18"/>
          <w:szCs w:val="18"/>
        </w:rPr>
        <w:t>(A)</w:t>
      </w:r>
      <w:r w:rsidRPr="00583B9D">
        <w:rPr>
          <w:sz w:val="18"/>
          <w:szCs w:val="18"/>
        </w:rPr>
        <w:t xml:space="preserve"> Sera from BALB/c mice immunized with m8∆/AAV1 or RTS,S</w:t>
      </w:r>
      <w:r>
        <w:rPr>
          <w:sz w:val="18"/>
          <w:szCs w:val="18"/>
        </w:rPr>
        <w:t>/AS01 (RTS,S) were</w:t>
      </w:r>
      <w:r w:rsidRPr="00583B9D">
        <w:rPr>
          <w:sz w:val="18"/>
          <w:szCs w:val="18"/>
        </w:rPr>
        <w:t xml:space="preserve"> tested in transgenic sporozoite neutralization assay. PfCSP-Tc/Pb sporozoites were incubated with </w:t>
      </w:r>
      <w:r>
        <w:rPr>
          <w:sz w:val="18"/>
          <w:szCs w:val="18"/>
        </w:rPr>
        <w:t>control mice</w:t>
      </w:r>
      <w:r w:rsidRPr="00583B9D">
        <w:rPr>
          <w:sz w:val="18"/>
          <w:szCs w:val="18"/>
        </w:rPr>
        <w:t xml:space="preserve"> sera or immune sera </w:t>
      </w:r>
      <w:r>
        <w:rPr>
          <w:sz w:val="18"/>
          <w:szCs w:val="18"/>
        </w:rPr>
        <w:t>at</w:t>
      </w:r>
      <w:r w:rsidRPr="00583B9D">
        <w:rPr>
          <w:sz w:val="18"/>
          <w:szCs w:val="18"/>
        </w:rPr>
        <w:t xml:space="preserve"> two serum dilutions (1:5 or 1:50) before addition to HepG2 cells. After 48 h of culture, levels of parasites in HepG2 cell extracts were measured by </w:t>
      </w:r>
      <w:r>
        <w:rPr>
          <w:sz w:val="18"/>
          <w:szCs w:val="18"/>
        </w:rPr>
        <w:t xml:space="preserve">real-time </w:t>
      </w:r>
      <w:r w:rsidRPr="00583B9D">
        <w:rPr>
          <w:sz w:val="18"/>
          <w:szCs w:val="18"/>
        </w:rPr>
        <w:t xml:space="preserve">PCR. Results are shown as </w:t>
      </w:r>
      <w:r>
        <w:rPr>
          <w:sz w:val="18"/>
          <w:szCs w:val="18"/>
        </w:rPr>
        <w:t>percentage</w:t>
      </w:r>
      <w:r w:rsidRPr="00583B9D">
        <w:rPr>
          <w:sz w:val="18"/>
          <w:szCs w:val="18"/>
        </w:rPr>
        <w:t xml:space="preserve"> relative 18S rRNA copy number. Differences between groups were analyzed using an unpaired </w:t>
      </w:r>
      <w:r w:rsidRPr="00583B9D">
        <w:rPr>
          <w:i/>
          <w:iCs/>
          <w:sz w:val="18"/>
          <w:szCs w:val="18"/>
        </w:rPr>
        <w:t>t</w:t>
      </w:r>
      <w:r w:rsidRPr="00583B9D">
        <w:rPr>
          <w:sz w:val="18"/>
          <w:szCs w:val="18"/>
        </w:rPr>
        <w:t>-test. *</w:t>
      </w:r>
      <w:r w:rsidRPr="00583B9D">
        <w:rPr>
          <w:i/>
          <w:iCs/>
          <w:sz w:val="18"/>
          <w:szCs w:val="18"/>
        </w:rPr>
        <w:t>p</w:t>
      </w:r>
      <w:r w:rsidRPr="00583B9D">
        <w:rPr>
          <w:sz w:val="18"/>
          <w:szCs w:val="18"/>
        </w:rPr>
        <w:t xml:space="preserve"> &lt; 0.05, **</w:t>
      </w:r>
      <w:r w:rsidRPr="00583B9D">
        <w:rPr>
          <w:i/>
          <w:iCs/>
          <w:sz w:val="18"/>
          <w:szCs w:val="18"/>
        </w:rPr>
        <w:t>p</w:t>
      </w:r>
      <w:r w:rsidRPr="00583B9D">
        <w:rPr>
          <w:sz w:val="18"/>
          <w:szCs w:val="18"/>
        </w:rPr>
        <w:t xml:space="preserve"> &lt; 0.01, ****</w:t>
      </w:r>
      <w:r w:rsidRPr="00583B9D">
        <w:rPr>
          <w:i/>
          <w:iCs/>
          <w:sz w:val="18"/>
          <w:szCs w:val="18"/>
        </w:rPr>
        <w:t>p</w:t>
      </w:r>
      <w:r w:rsidRPr="00583B9D">
        <w:rPr>
          <w:sz w:val="18"/>
          <w:szCs w:val="18"/>
        </w:rPr>
        <w:t xml:space="preserve"> &lt; 0.0001. </w:t>
      </w:r>
      <w:r w:rsidRPr="00583B9D">
        <w:rPr>
          <w:b/>
          <w:bCs/>
          <w:sz w:val="18"/>
          <w:szCs w:val="18"/>
        </w:rPr>
        <w:t xml:space="preserve">(B) </w:t>
      </w:r>
      <w:r w:rsidRPr="00583B9D">
        <w:rPr>
          <w:sz w:val="18"/>
          <w:szCs w:val="18"/>
        </w:rPr>
        <w:t xml:space="preserve">BALB/c mice, </w:t>
      </w:r>
      <w:r w:rsidRPr="00583B9D">
        <w:rPr>
          <w:i/>
          <w:iCs/>
          <w:sz w:val="18"/>
          <w:szCs w:val="18"/>
        </w:rPr>
        <w:t>n</w:t>
      </w:r>
      <w:r w:rsidRPr="00583B9D">
        <w:rPr>
          <w:sz w:val="18"/>
          <w:szCs w:val="18"/>
        </w:rPr>
        <w:t xml:space="preserve"> = 2 per group, were inoculated with m8∆/AAV1 or RTS,S </w:t>
      </w:r>
      <w:r>
        <w:rPr>
          <w:sz w:val="18"/>
          <w:szCs w:val="18"/>
        </w:rPr>
        <w:t>to form</w:t>
      </w:r>
      <w:r w:rsidRPr="00583B9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the </w:t>
      </w:r>
      <w:r w:rsidRPr="00583B9D">
        <w:rPr>
          <w:sz w:val="18"/>
          <w:szCs w:val="18"/>
        </w:rPr>
        <w:t xml:space="preserve">immunized groups, and PBS </w:t>
      </w:r>
      <w:r>
        <w:rPr>
          <w:sz w:val="18"/>
          <w:szCs w:val="18"/>
        </w:rPr>
        <w:t xml:space="preserve">was used </w:t>
      </w:r>
      <w:r w:rsidRPr="00583B9D">
        <w:rPr>
          <w:sz w:val="18"/>
          <w:szCs w:val="18"/>
        </w:rPr>
        <w:t xml:space="preserve">for the control group. Four weeks after the final immunization, mice were challenged with </w:t>
      </w:r>
      <w:r w:rsidRPr="00C70CC7">
        <w:rPr>
          <w:sz w:val="18"/>
          <w:szCs w:val="18"/>
        </w:rPr>
        <w:t xml:space="preserve">3 </w:t>
      </w:r>
      <w:r w:rsidRPr="00CA5AAA">
        <w:rPr>
          <w:bCs/>
          <w:sz w:val="18"/>
          <w:szCs w:val="18"/>
        </w:rPr>
        <w:t>× 10</w:t>
      </w:r>
      <w:r w:rsidRPr="00CA5AAA">
        <w:rPr>
          <w:bCs/>
          <w:sz w:val="18"/>
          <w:szCs w:val="18"/>
          <w:vertAlign w:val="superscript"/>
        </w:rPr>
        <w:t>4</w:t>
      </w:r>
      <w:r w:rsidRPr="00583B9D">
        <w:rPr>
          <w:sz w:val="18"/>
          <w:szCs w:val="18"/>
        </w:rPr>
        <w:t xml:space="preserve"> PfCSP-Tc/Pb sporozoites expressing the luciferase gene (PfCSP-Tc/Pb Luc). The mean total photon flux (whole body) from 24–120 h after intravenous administration of PfCSP-Tc/Pb Luc is shown.</w:t>
      </w:r>
      <w:r>
        <w:rPr>
          <w:sz w:val="18"/>
          <w:szCs w:val="18"/>
        </w:rPr>
        <w:t xml:space="preserve"> ROI: region of interest, ND: not detected.</w:t>
      </w:r>
    </w:p>
    <w:p w14:paraId="792554B1" w14:textId="77777777" w:rsidR="00EA4CB9" w:rsidRPr="00583B9D" w:rsidRDefault="00EA4CB9" w:rsidP="00EA4CB9">
      <w:pPr>
        <w:rPr>
          <w:b/>
          <w:bCs/>
        </w:rPr>
      </w:pPr>
    </w:p>
    <w:p w14:paraId="282EF0A8" w14:textId="77777777" w:rsidR="00EA4CB9" w:rsidRPr="00583B9D" w:rsidRDefault="00EA4CB9" w:rsidP="00EA4CB9">
      <w:pPr>
        <w:spacing w:line="360" w:lineRule="auto"/>
      </w:pPr>
      <w:r w:rsidRPr="00583B9D">
        <w:rPr>
          <w:b/>
          <w:bCs/>
          <w:sz w:val="24"/>
          <w:szCs w:val="24"/>
        </w:rPr>
        <w:t>Fig. S2</w:t>
      </w:r>
    </w:p>
    <w:p w14:paraId="2BD3154E" w14:textId="77777777" w:rsidR="00EA4CB9" w:rsidRPr="00583B9D" w:rsidRDefault="00EA4CB9" w:rsidP="00EA4CB9">
      <w:pPr>
        <w:spacing w:line="360" w:lineRule="auto"/>
      </w:pPr>
      <w:r>
        <w:rPr>
          <w:noProof/>
        </w:rPr>
        <w:drawing>
          <wp:inline distT="0" distB="0" distL="0" distR="0" wp14:anchorId="6B49A0E3" wp14:editId="02AE1D07">
            <wp:extent cx="6645910" cy="3199130"/>
            <wp:effectExtent l="0" t="0" r="0" b="1270"/>
            <wp:docPr id="1372882999" name="Picture 2" descr="A collage of images of a vir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82999" name="Picture 2" descr="A collage of images of a viru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5149F" w14:textId="77777777" w:rsidR="00EA4CB9" w:rsidRPr="00583B9D" w:rsidRDefault="00EA4CB9" w:rsidP="00EA4CB9">
      <w:pPr>
        <w:spacing w:line="360" w:lineRule="auto"/>
      </w:pPr>
    </w:p>
    <w:p w14:paraId="7E54F5F1" w14:textId="77777777" w:rsidR="00EA4CB9" w:rsidRDefault="00EA4CB9" w:rsidP="00EA4CB9">
      <w:pPr>
        <w:snapToGrid w:val="0"/>
        <w:spacing w:line="276" w:lineRule="auto"/>
        <w:contextualSpacing/>
        <w:rPr>
          <w:sz w:val="18"/>
          <w:szCs w:val="18"/>
        </w:rPr>
      </w:pPr>
      <w:r w:rsidRPr="00583B9D">
        <w:rPr>
          <w:b/>
          <w:bCs/>
          <w:sz w:val="18"/>
          <w:szCs w:val="18"/>
        </w:rPr>
        <w:lastRenderedPageBreak/>
        <w:t xml:space="preserve">Figure S2. </w:t>
      </w:r>
      <w:r w:rsidRPr="00583B9D">
        <w:rPr>
          <w:sz w:val="18"/>
          <w:szCs w:val="18"/>
        </w:rPr>
        <w:t xml:space="preserve">Assessment of vaccine efficacy against cerebral malaria. Immunohistochemical staining for ICAM-1 </w:t>
      </w:r>
      <w:r>
        <w:rPr>
          <w:sz w:val="18"/>
          <w:szCs w:val="18"/>
        </w:rPr>
        <w:t>i</w:t>
      </w:r>
      <w:r w:rsidRPr="00583B9D">
        <w:rPr>
          <w:sz w:val="18"/>
          <w:szCs w:val="18"/>
        </w:rPr>
        <w:t>n cerebral vessel endotheli</w:t>
      </w:r>
      <w:r>
        <w:rPr>
          <w:sz w:val="18"/>
          <w:szCs w:val="18"/>
        </w:rPr>
        <w:t>a</w:t>
      </w:r>
      <w:r w:rsidRPr="00583B9D">
        <w:rPr>
          <w:sz w:val="18"/>
          <w:szCs w:val="18"/>
        </w:rPr>
        <w:t xml:space="preserve"> of vaccinate</w:t>
      </w:r>
      <w:r>
        <w:rPr>
          <w:sz w:val="18"/>
          <w:szCs w:val="18"/>
        </w:rPr>
        <w:t>d C57BL/6</w:t>
      </w:r>
      <w:r w:rsidRPr="00583B9D">
        <w:rPr>
          <w:sz w:val="18"/>
          <w:szCs w:val="18"/>
        </w:rPr>
        <w:t xml:space="preserve"> mice </w:t>
      </w:r>
      <w:r>
        <w:rPr>
          <w:sz w:val="18"/>
          <w:szCs w:val="18"/>
        </w:rPr>
        <w:t xml:space="preserve">on day 8 </w:t>
      </w:r>
      <w:r w:rsidRPr="00583B9D">
        <w:rPr>
          <w:sz w:val="18"/>
          <w:szCs w:val="18"/>
        </w:rPr>
        <w:t xml:space="preserve">after challenge with </w:t>
      </w:r>
      <w:r>
        <w:rPr>
          <w:sz w:val="18"/>
          <w:szCs w:val="18"/>
        </w:rPr>
        <w:t>1</w:t>
      </w:r>
      <w:r w:rsidRPr="00C70CC7">
        <w:rPr>
          <w:sz w:val="18"/>
          <w:szCs w:val="18"/>
        </w:rPr>
        <w:t xml:space="preserve"> </w:t>
      </w:r>
      <w:r w:rsidRPr="00C8311A">
        <w:rPr>
          <w:bCs/>
          <w:sz w:val="18"/>
          <w:szCs w:val="18"/>
        </w:rPr>
        <w:t>× 10</w:t>
      </w:r>
      <w:r>
        <w:rPr>
          <w:bCs/>
          <w:sz w:val="18"/>
          <w:szCs w:val="18"/>
          <w:vertAlign w:val="superscript"/>
        </w:rPr>
        <w:t>3</w:t>
      </w:r>
      <w:r w:rsidRPr="00583B9D">
        <w:rPr>
          <w:sz w:val="18"/>
          <w:szCs w:val="18"/>
        </w:rPr>
        <w:t xml:space="preserve"> Pfs25-PfCSP/Pb sporozoites. </w:t>
      </w:r>
      <w:r w:rsidRPr="00583B9D">
        <w:rPr>
          <w:b/>
          <w:bCs/>
          <w:sz w:val="18"/>
          <w:szCs w:val="18"/>
        </w:rPr>
        <w:t xml:space="preserve">(A) </w:t>
      </w:r>
      <w:r w:rsidRPr="00583B9D">
        <w:rPr>
          <w:sz w:val="18"/>
          <w:szCs w:val="18"/>
        </w:rPr>
        <w:t>Representative images showing ICAM-1 expression in control, m8∆/AAV1 (infected), RTS,S (infected)</w:t>
      </w:r>
      <w:r>
        <w:rPr>
          <w:sz w:val="18"/>
          <w:szCs w:val="18"/>
        </w:rPr>
        <w:t xml:space="preserve"> and almost no ICAM-1 expression in</w:t>
      </w:r>
      <w:r w:rsidRPr="00583B9D">
        <w:rPr>
          <w:sz w:val="18"/>
          <w:szCs w:val="18"/>
        </w:rPr>
        <w:t xml:space="preserve"> naïve, m8∆/AAV1 (protected), and RTS,S (protected) groups. Scale bar: 50 </w:t>
      </w:r>
      <w:proofErr w:type="spellStart"/>
      <w:r w:rsidRPr="00583B9D">
        <w:rPr>
          <w:sz w:val="18"/>
          <w:szCs w:val="18"/>
        </w:rPr>
        <w:t>μm</w:t>
      </w:r>
      <w:proofErr w:type="spellEnd"/>
      <w:r w:rsidRPr="00583B9D">
        <w:rPr>
          <w:sz w:val="18"/>
          <w:szCs w:val="18"/>
        </w:rPr>
        <w:t>.</w:t>
      </w:r>
      <w:r w:rsidRPr="00583B9D">
        <w:rPr>
          <w:b/>
          <w:bCs/>
          <w:sz w:val="18"/>
          <w:szCs w:val="18"/>
        </w:rPr>
        <w:t xml:space="preserve"> (B) </w:t>
      </w:r>
      <w:r w:rsidRPr="00583B9D">
        <w:rPr>
          <w:sz w:val="18"/>
          <w:szCs w:val="18"/>
        </w:rPr>
        <w:t>Quantification of ICAM-1-positive vessels across different groups. Data represent the mean number of positive vessels per 20 fields at 400× magnification for each group; error bars denote SEM.</w:t>
      </w:r>
      <w:r>
        <w:rPr>
          <w:sz w:val="18"/>
          <w:szCs w:val="18"/>
        </w:rPr>
        <w:t xml:space="preserve"> Differences between groups were analyzed using </w:t>
      </w:r>
      <w:r w:rsidRPr="00583B9D">
        <w:rPr>
          <w:sz w:val="18"/>
          <w:szCs w:val="18"/>
        </w:rPr>
        <w:t xml:space="preserve">unpaired </w:t>
      </w:r>
      <w:r w:rsidRPr="00583B9D">
        <w:rPr>
          <w:i/>
          <w:iCs/>
          <w:sz w:val="18"/>
          <w:szCs w:val="18"/>
        </w:rPr>
        <w:t>t</w:t>
      </w:r>
      <w:r w:rsidRPr="00583B9D">
        <w:rPr>
          <w:sz w:val="18"/>
          <w:szCs w:val="18"/>
        </w:rPr>
        <w:t>-test</w:t>
      </w:r>
      <w:r>
        <w:rPr>
          <w:sz w:val="18"/>
          <w:szCs w:val="18"/>
        </w:rPr>
        <w:t>.</w:t>
      </w:r>
      <w:r w:rsidRPr="00583B9D">
        <w:rPr>
          <w:sz w:val="18"/>
          <w:szCs w:val="18"/>
        </w:rPr>
        <w:t xml:space="preserve"> </w:t>
      </w:r>
      <w:r>
        <w:rPr>
          <w:sz w:val="18"/>
          <w:szCs w:val="18"/>
        </w:rPr>
        <w:t>“</w:t>
      </w:r>
      <w:r w:rsidRPr="00583B9D">
        <w:rPr>
          <w:sz w:val="18"/>
          <w:szCs w:val="18"/>
        </w:rPr>
        <w:t>ns</w:t>
      </w:r>
      <w:r>
        <w:rPr>
          <w:sz w:val="18"/>
          <w:szCs w:val="18"/>
        </w:rPr>
        <w:t>”</w:t>
      </w:r>
      <w:r w:rsidRPr="00583B9D">
        <w:rPr>
          <w:sz w:val="18"/>
          <w:szCs w:val="18"/>
        </w:rPr>
        <w:t xml:space="preserve"> indicates no significant differences between groups.</w:t>
      </w:r>
    </w:p>
    <w:p w14:paraId="1C6C2B1E" w14:textId="77777777" w:rsidR="00EA4CB9" w:rsidRDefault="00EA4CB9" w:rsidP="00EA4CB9">
      <w:pPr>
        <w:snapToGrid w:val="0"/>
        <w:spacing w:line="276" w:lineRule="auto"/>
        <w:contextualSpacing/>
        <w:rPr>
          <w:sz w:val="18"/>
          <w:szCs w:val="18"/>
        </w:rPr>
      </w:pPr>
    </w:p>
    <w:p w14:paraId="7CBEEE71" w14:textId="77777777" w:rsidR="00EA4CB9" w:rsidRPr="00800544" w:rsidRDefault="00EA4CB9" w:rsidP="00EA4CB9">
      <w:pPr>
        <w:pStyle w:val="MDPI63Notes"/>
        <w:rPr>
          <w:b/>
          <w:bCs/>
          <w:sz w:val="24"/>
          <w:szCs w:val="24"/>
        </w:rPr>
      </w:pPr>
    </w:p>
    <w:p w14:paraId="3649D7A4" w14:textId="77777777" w:rsidR="00A61BA1" w:rsidRDefault="00A61BA1"/>
    <w:sectPr w:rsidR="00A61BA1" w:rsidSect="00EA4CB9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8BE8C" w14:textId="77777777" w:rsidR="00000000" w:rsidRPr="00F63698" w:rsidRDefault="00000000" w:rsidP="00151E16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F219C" w14:textId="77777777" w:rsidR="00000000" w:rsidRDefault="00000000" w:rsidP="008E1E9E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43D91C89" w14:textId="77777777" w:rsidR="00000000" w:rsidRPr="00372FCD" w:rsidRDefault="00000000" w:rsidP="0079253B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proofErr w:type="spellStart"/>
    <w:r w:rsidRPr="00177D04">
      <w:rPr>
        <w:i/>
        <w:sz w:val="16"/>
        <w:szCs w:val="16"/>
        <w:lang w:val="es-ES_tradnl"/>
      </w:rPr>
      <w:t>Vaccines</w:t>
    </w:r>
    <w:proofErr w:type="spellEnd"/>
    <w:r w:rsidRPr="00177D04">
      <w:rPr>
        <w:i/>
        <w:sz w:val="16"/>
        <w:szCs w:val="16"/>
        <w:lang w:val="es-ES_tradnl"/>
      </w:rPr>
      <w:t xml:space="preserve"> </w:t>
    </w:r>
    <w:r w:rsidRPr="00177D04">
      <w:rPr>
        <w:b/>
        <w:bCs/>
        <w:iCs/>
        <w:sz w:val="16"/>
        <w:szCs w:val="16"/>
        <w:lang w:val="es-ES_tradnl"/>
      </w:rPr>
      <w:t>2024</w:t>
    </w:r>
    <w:r w:rsidRPr="00177D04">
      <w:rPr>
        <w:bCs/>
        <w:iCs/>
        <w:sz w:val="16"/>
        <w:szCs w:val="16"/>
        <w:lang w:val="es-ES_tradnl"/>
      </w:rPr>
      <w:t>,</w:t>
    </w:r>
    <w:r w:rsidRPr="00177D04">
      <w:rPr>
        <w:bCs/>
        <w:i/>
        <w:iCs/>
        <w:sz w:val="16"/>
        <w:szCs w:val="16"/>
        <w:lang w:val="es-ES_tradnl"/>
      </w:rPr>
      <w:t xml:space="preserve"> 12</w:t>
    </w:r>
    <w:r w:rsidRPr="00177D04">
      <w:rPr>
        <w:bCs/>
        <w:iCs/>
        <w:sz w:val="16"/>
        <w:szCs w:val="16"/>
        <w:lang w:val="es-ES_tradnl"/>
      </w:rPr>
      <w:t xml:space="preserve">, </w:t>
    </w:r>
    <w:r w:rsidRPr="00177D04">
      <w:rPr>
        <w:bCs/>
        <w:iCs/>
        <w:sz w:val="16"/>
        <w:szCs w:val="16"/>
        <w:lang w:val="es-ES_tradnl"/>
      </w:rPr>
      <w:t>x</w:t>
    </w:r>
    <w:r w:rsidRPr="00177D04">
      <w:rPr>
        <w:bCs/>
        <w:iCs/>
        <w:sz w:val="16"/>
        <w:szCs w:val="16"/>
        <w:lang w:val="es-ES_tradnl"/>
      </w:rPr>
      <w:t>. https://doi.org/10.3390/xxxxx</w:t>
    </w:r>
    <w:r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proofErr w:type="spellStart"/>
    <w:r w:rsidRPr="00177D04">
      <w:rPr>
        <w:sz w:val="16"/>
        <w:szCs w:val="16"/>
        <w:lang w:val="es-ES_tradnl"/>
      </w:rPr>
      <w:t>vaccines</w:t>
    </w:r>
    <w:proofErr w:type="spellEnd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C530F" w14:textId="77777777" w:rsidR="00000000" w:rsidRDefault="00000000" w:rsidP="00151E16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9173A" w14:textId="77777777" w:rsidR="00000000" w:rsidRDefault="00000000" w:rsidP="0079253B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Vaccines </w:t>
    </w:r>
    <w:r>
      <w:rPr>
        <w:b/>
        <w:sz w:val="16"/>
      </w:rPr>
      <w:t>2024</w:t>
    </w:r>
    <w:r w:rsidRPr="009661C0">
      <w:rPr>
        <w:sz w:val="16"/>
      </w:rPr>
      <w:t>,</w:t>
    </w:r>
    <w:r>
      <w:rPr>
        <w:i/>
        <w:sz w:val="16"/>
      </w:rPr>
      <w:t xml:space="preserve"> 12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4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14:paraId="36CCE409" w14:textId="77777777" w:rsidR="00000000" w:rsidRPr="0010772D" w:rsidRDefault="00000000" w:rsidP="008E1E9E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957EF8" w:rsidRPr="0079253B" w14:paraId="07F65DB9" w14:textId="77777777" w:rsidTr="00DD7900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3207B8C6" w14:textId="77777777" w:rsidR="00000000" w:rsidRPr="00E57C04" w:rsidRDefault="00000000" w:rsidP="0079253B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A8173B">
            <w:rPr>
              <w:noProof/>
            </w:rPr>
            <w:drawing>
              <wp:inline distT="0" distB="0" distL="0" distR="0" wp14:anchorId="6014F117" wp14:editId="1E71E03D">
                <wp:extent cx="1433830" cy="429260"/>
                <wp:effectExtent l="0" t="0" r="0" b="0"/>
                <wp:docPr id="27027514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383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6D4840EB" w14:textId="77777777" w:rsidR="00000000" w:rsidRPr="00E57C04" w:rsidRDefault="00000000" w:rsidP="0079253B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07EF7208" w14:textId="77777777" w:rsidR="00000000" w:rsidRPr="00E57C04" w:rsidRDefault="00000000" w:rsidP="00DD7900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11B458AF" wp14:editId="4EBAE0DA">
                <wp:extent cx="540000" cy="360000"/>
                <wp:effectExtent l="0" t="0" r="0" b="2540"/>
                <wp:docPr id="1731765629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041794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1763A42" w14:textId="77777777" w:rsidR="00000000" w:rsidRPr="00957EF8" w:rsidRDefault="00000000" w:rsidP="008E1E9E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CB9"/>
    <w:rsid w:val="00026848"/>
    <w:rsid w:val="00030C75"/>
    <w:rsid w:val="00060701"/>
    <w:rsid w:val="000828D4"/>
    <w:rsid w:val="000A721C"/>
    <w:rsid w:val="000A78E4"/>
    <w:rsid w:val="000C2C7B"/>
    <w:rsid w:val="000C3DC2"/>
    <w:rsid w:val="000D7300"/>
    <w:rsid w:val="000E6AA4"/>
    <w:rsid w:val="000F4BDB"/>
    <w:rsid w:val="0010209D"/>
    <w:rsid w:val="00127C1E"/>
    <w:rsid w:val="00172CEC"/>
    <w:rsid w:val="00186D87"/>
    <w:rsid w:val="0019184F"/>
    <w:rsid w:val="00196175"/>
    <w:rsid w:val="001C5509"/>
    <w:rsid w:val="001C76BD"/>
    <w:rsid w:val="001D0C18"/>
    <w:rsid w:val="001E4EC1"/>
    <w:rsid w:val="001E5399"/>
    <w:rsid w:val="001F6CF5"/>
    <w:rsid w:val="001F7831"/>
    <w:rsid w:val="002127CF"/>
    <w:rsid w:val="00217B1A"/>
    <w:rsid w:val="002262B1"/>
    <w:rsid w:val="00236854"/>
    <w:rsid w:val="00236DAC"/>
    <w:rsid w:val="00245A54"/>
    <w:rsid w:val="00261DFC"/>
    <w:rsid w:val="0027253B"/>
    <w:rsid w:val="00273E96"/>
    <w:rsid w:val="00275EBF"/>
    <w:rsid w:val="002B1BC4"/>
    <w:rsid w:val="002F5695"/>
    <w:rsid w:val="00305023"/>
    <w:rsid w:val="00334173"/>
    <w:rsid w:val="00335294"/>
    <w:rsid w:val="003717F3"/>
    <w:rsid w:val="003747A9"/>
    <w:rsid w:val="003868BD"/>
    <w:rsid w:val="00395E63"/>
    <w:rsid w:val="003E5D02"/>
    <w:rsid w:val="003E7675"/>
    <w:rsid w:val="003F1A7C"/>
    <w:rsid w:val="0040265B"/>
    <w:rsid w:val="00404DDA"/>
    <w:rsid w:val="004065E7"/>
    <w:rsid w:val="004079C7"/>
    <w:rsid w:val="0041703D"/>
    <w:rsid w:val="0044133A"/>
    <w:rsid w:val="004A4BD4"/>
    <w:rsid w:val="004C5B5C"/>
    <w:rsid w:val="004D7A98"/>
    <w:rsid w:val="004E74A6"/>
    <w:rsid w:val="004F733E"/>
    <w:rsid w:val="00502E8C"/>
    <w:rsid w:val="00536274"/>
    <w:rsid w:val="00544349"/>
    <w:rsid w:val="00555E66"/>
    <w:rsid w:val="005748C3"/>
    <w:rsid w:val="00585802"/>
    <w:rsid w:val="005A0C66"/>
    <w:rsid w:val="005B11F0"/>
    <w:rsid w:val="005D21EB"/>
    <w:rsid w:val="006208AB"/>
    <w:rsid w:val="00626466"/>
    <w:rsid w:val="00630DF1"/>
    <w:rsid w:val="00647000"/>
    <w:rsid w:val="00660F59"/>
    <w:rsid w:val="006B72BC"/>
    <w:rsid w:val="006C3359"/>
    <w:rsid w:val="006E2E6E"/>
    <w:rsid w:val="006F324B"/>
    <w:rsid w:val="0070319F"/>
    <w:rsid w:val="007074A3"/>
    <w:rsid w:val="00707F0E"/>
    <w:rsid w:val="00753625"/>
    <w:rsid w:val="0077642E"/>
    <w:rsid w:val="007B16F3"/>
    <w:rsid w:val="007B1AF0"/>
    <w:rsid w:val="007F4EAD"/>
    <w:rsid w:val="0081464F"/>
    <w:rsid w:val="00820850"/>
    <w:rsid w:val="00845878"/>
    <w:rsid w:val="0085408F"/>
    <w:rsid w:val="00862704"/>
    <w:rsid w:val="00863460"/>
    <w:rsid w:val="00886CDD"/>
    <w:rsid w:val="00891156"/>
    <w:rsid w:val="008C051C"/>
    <w:rsid w:val="008D0D62"/>
    <w:rsid w:val="008E0021"/>
    <w:rsid w:val="008E1E6D"/>
    <w:rsid w:val="008E47C3"/>
    <w:rsid w:val="008F08E5"/>
    <w:rsid w:val="008F75FB"/>
    <w:rsid w:val="00914934"/>
    <w:rsid w:val="00940AC0"/>
    <w:rsid w:val="00951409"/>
    <w:rsid w:val="00960305"/>
    <w:rsid w:val="00972D71"/>
    <w:rsid w:val="00992AA3"/>
    <w:rsid w:val="00A0152B"/>
    <w:rsid w:val="00A12398"/>
    <w:rsid w:val="00A3271A"/>
    <w:rsid w:val="00A425CB"/>
    <w:rsid w:val="00A50276"/>
    <w:rsid w:val="00A61BA1"/>
    <w:rsid w:val="00AC1E8B"/>
    <w:rsid w:val="00B369BC"/>
    <w:rsid w:val="00BB35E3"/>
    <w:rsid w:val="00BD4C40"/>
    <w:rsid w:val="00BD59AE"/>
    <w:rsid w:val="00BE31B7"/>
    <w:rsid w:val="00BF0D0C"/>
    <w:rsid w:val="00C07E30"/>
    <w:rsid w:val="00C24741"/>
    <w:rsid w:val="00C604AB"/>
    <w:rsid w:val="00CB31E9"/>
    <w:rsid w:val="00CF509B"/>
    <w:rsid w:val="00D012FC"/>
    <w:rsid w:val="00D0228A"/>
    <w:rsid w:val="00D04A52"/>
    <w:rsid w:val="00D12935"/>
    <w:rsid w:val="00D1301E"/>
    <w:rsid w:val="00D57850"/>
    <w:rsid w:val="00D621FF"/>
    <w:rsid w:val="00D815D5"/>
    <w:rsid w:val="00DA21F3"/>
    <w:rsid w:val="00DA39FF"/>
    <w:rsid w:val="00DA438C"/>
    <w:rsid w:val="00DC31EF"/>
    <w:rsid w:val="00E03390"/>
    <w:rsid w:val="00E04E6D"/>
    <w:rsid w:val="00E37C77"/>
    <w:rsid w:val="00E535F4"/>
    <w:rsid w:val="00E549EF"/>
    <w:rsid w:val="00E61C7E"/>
    <w:rsid w:val="00E63AA3"/>
    <w:rsid w:val="00E87A83"/>
    <w:rsid w:val="00EA2F28"/>
    <w:rsid w:val="00EA4CB9"/>
    <w:rsid w:val="00EB00D1"/>
    <w:rsid w:val="00EC292C"/>
    <w:rsid w:val="00EE426F"/>
    <w:rsid w:val="00F10217"/>
    <w:rsid w:val="00F63D23"/>
    <w:rsid w:val="00F6537D"/>
    <w:rsid w:val="00FA2473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CEE017"/>
  <w15:chartTrackingRefBased/>
  <w15:docId w15:val="{0B4A666C-6A2C-8342-A46C-912B76EB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JP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B9"/>
    <w:pPr>
      <w:spacing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A4CB9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B9"/>
    <w:rPr>
      <w:rFonts w:ascii="Palatino Linotype" w:eastAsia="SimSun" w:hAnsi="Palatino Linotype" w:cs="Times New Roman"/>
      <w:color w:val="000000"/>
      <w:kern w:val="0"/>
      <w:sz w:val="20"/>
      <w:szCs w:val="18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rsid w:val="00EA4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B9"/>
    <w:rPr>
      <w:rFonts w:ascii="Palatino Linotype" w:eastAsia="SimSun" w:hAnsi="Palatino Linotype" w:cs="Times New Roman"/>
      <w:color w:val="000000"/>
      <w:kern w:val="0"/>
      <w:sz w:val="20"/>
      <w:szCs w:val="18"/>
      <w:lang w:val="en-US" w:eastAsia="zh-CN"/>
      <w14:ligatures w14:val="none"/>
    </w:rPr>
  </w:style>
  <w:style w:type="paragraph" w:customStyle="1" w:styleId="MDPI63Notes">
    <w:name w:val="MDPI_6.3_Notes"/>
    <w:qFormat/>
    <w:rsid w:val="00EA4CB9"/>
    <w:pPr>
      <w:adjustRightInd w:val="0"/>
      <w:snapToGrid w:val="0"/>
      <w:spacing w:before="240" w:line="228" w:lineRule="auto"/>
      <w:jc w:val="both"/>
    </w:pPr>
    <w:rPr>
      <w:rFonts w:ascii="Palatino Linotype" w:eastAsia="SimSun" w:hAnsi="Palatino Linotype" w:cs="Times New Roman"/>
      <w:snapToGrid w:val="0"/>
      <w:color w:val="000000"/>
      <w:kern w:val="0"/>
      <w:sz w:val="18"/>
      <w:szCs w:val="20"/>
      <w:lang w:val="en-US" w:eastAsia="en-US" w:bidi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EA4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footer" Target="footer2.xml"/><Relationship Id="rId4" Type="http://schemas.openxmlformats.org/officeDocument/2006/relationships/image" Target="media/image1.jpg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AMMAR ABDURRAHMAN HASYIM</dc:creator>
  <cp:keywords/>
  <dc:description/>
  <cp:lastModifiedBy>AMMAR ABDURRAHMAN HASYIM</cp:lastModifiedBy>
  <cp:revision>1</cp:revision>
  <dcterms:created xsi:type="dcterms:W3CDTF">2024-09-17T04:18:00Z</dcterms:created>
  <dcterms:modified xsi:type="dcterms:W3CDTF">2024-09-17T04:18:00Z</dcterms:modified>
</cp:coreProperties>
</file>