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18CE" w14:textId="77777777" w:rsidR="00275F18" w:rsidRPr="00B377B1" w:rsidRDefault="00275F18" w:rsidP="00275F18">
      <w:pPr>
        <w:pStyle w:val="MDPI12title"/>
      </w:pPr>
      <w:bookmarkStart w:id="0" w:name="_GoBack"/>
      <w:bookmarkEnd w:id="0"/>
      <w:r>
        <w:t xml:space="preserve">Clinical and Pathologic Features Associated with Low Circulating Tumor DNA Fraction in </w:t>
      </w:r>
      <w:r w:rsidRPr="004A5EDB">
        <w:t>Endometrial and Ovarian Cancer</w:t>
      </w:r>
      <w:r>
        <w:t>s</w:t>
      </w:r>
    </w:p>
    <w:p w14:paraId="4CD88880" w14:textId="77777777" w:rsidR="00275F18" w:rsidRPr="004A5EDB" w:rsidRDefault="00275F18" w:rsidP="00275F18">
      <w:pPr>
        <w:pStyle w:val="MDPI13authornames"/>
      </w:pPr>
      <w:r>
        <w:t>Mark Vater</w:t>
      </w:r>
      <w:r>
        <w:rPr>
          <w:vertAlign w:val="superscript"/>
        </w:rPr>
        <w:t>1</w:t>
      </w:r>
      <w:r>
        <w:t>*, Alison Garrett</w:t>
      </w:r>
      <w:r>
        <w:rPr>
          <w:vertAlign w:val="superscript"/>
        </w:rPr>
        <w:t>2</w:t>
      </w:r>
      <w:r>
        <w:t>*, Katharine Collier</w:t>
      </w:r>
      <w:r>
        <w:rPr>
          <w:vertAlign w:val="superscript"/>
        </w:rPr>
        <w:t>1,3</w:t>
      </w:r>
      <w:r>
        <w:t>, Peter Rose</w:t>
      </w:r>
      <w:r w:rsidRPr="00905DA2">
        <w:rPr>
          <w:vertAlign w:val="superscript"/>
        </w:rPr>
        <w:t>4</w:t>
      </w:r>
      <w:r>
        <w:t>, Gabriel Tinoco</w:t>
      </w:r>
      <w:r>
        <w:rPr>
          <w:vertAlign w:val="superscript"/>
        </w:rPr>
        <w:t>1,3</w:t>
      </w:r>
      <w:r>
        <w:t>, Ava Strahan</w:t>
      </w:r>
      <w:r>
        <w:rPr>
          <w:vertAlign w:val="superscript"/>
        </w:rPr>
        <w:t>1</w:t>
      </w:r>
      <w:r>
        <w:t>, Daniel G. Stover</w:t>
      </w:r>
      <w:r>
        <w:rPr>
          <w:vertAlign w:val="superscript"/>
        </w:rPr>
        <w:t>1,3+</w:t>
      </w:r>
      <w:r>
        <w:t>, Haider Mahdi</w:t>
      </w:r>
      <w:r>
        <w:rPr>
          <w:vertAlign w:val="superscript"/>
        </w:rPr>
        <w:t>2,5+</w:t>
      </w:r>
    </w:p>
    <w:p w14:paraId="1BDBF49C" w14:textId="6B711629" w:rsidR="007241B9" w:rsidRDefault="00275F18" w:rsidP="00275F18">
      <w:pPr>
        <w:pStyle w:val="MDPI52figure"/>
        <w:rPr>
          <w:rFonts w:eastAsiaTheme="minorEastAsia"/>
          <w:lang w:eastAsia="zh-CN"/>
        </w:rPr>
      </w:pPr>
      <w:r>
        <w:drawing>
          <wp:inline distT="0" distB="0" distL="0" distR="0" wp14:anchorId="6C6C1A07" wp14:editId="13BBCF7F">
            <wp:extent cx="6645910" cy="5065395"/>
            <wp:effectExtent l="0" t="0" r="2540" b="1905"/>
            <wp:docPr id="504021298" name="Picture 1" descr="A group of graphs with different 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21298" name="Picture 1" descr="A group of graphs with different colored square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CDBB" w14:textId="4F738669" w:rsidR="00275F18" w:rsidRDefault="00275F18" w:rsidP="00275F18">
      <w:pPr>
        <w:pStyle w:val="MDPI52figure"/>
        <w:rPr>
          <w:rFonts w:eastAsiaTheme="minorEastAsia"/>
          <w:lang w:eastAsia="zh-CN"/>
        </w:rPr>
      </w:pPr>
      <w:r>
        <w:lastRenderedPageBreak/>
        <w:drawing>
          <wp:inline distT="0" distB="0" distL="0" distR="0" wp14:anchorId="1DF851D9" wp14:editId="1DEB2328">
            <wp:extent cx="6645910" cy="2444750"/>
            <wp:effectExtent l="0" t="0" r="2540" b="0"/>
            <wp:docPr id="483222397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22397" name="Picture 1" descr="A screen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E2FBD" w14:textId="5167C883" w:rsidR="00275F18" w:rsidRPr="00275F18" w:rsidRDefault="00275F18" w:rsidP="00275F18">
      <w:pPr>
        <w:pStyle w:val="MDPI52figure"/>
        <w:rPr>
          <w:rFonts w:eastAsiaTheme="minorEastAsia" w:hint="eastAsia"/>
          <w:lang w:eastAsia="zh-CN"/>
        </w:rPr>
      </w:pPr>
      <w:r>
        <w:drawing>
          <wp:inline distT="0" distB="0" distL="0" distR="0" wp14:anchorId="158434AA" wp14:editId="22D62A48">
            <wp:extent cx="5509155" cy="3408875"/>
            <wp:effectExtent l="0" t="0" r="0" b="1270"/>
            <wp:docPr id="1632590028" name="Picture 1" descr="A graph with line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90028" name="Picture 1" descr="A graph with lines and numbers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385" cy="341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3C8C8" w14:textId="42CF8669" w:rsidR="007241B9" w:rsidRDefault="00275F18" w:rsidP="00275F18">
      <w:pPr>
        <w:pStyle w:val="MDPI51figurecaption"/>
        <w:jc w:val="both"/>
      </w:pPr>
      <w:r w:rsidRPr="00275F18">
        <w:rPr>
          <w:b/>
        </w:rPr>
        <w:t xml:space="preserve">Figure </w:t>
      </w:r>
      <w:r>
        <w:rPr>
          <w:rFonts w:eastAsiaTheme="minorEastAsia" w:hint="eastAsia"/>
          <w:b/>
          <w:lang w:eastAsia="zh-CN"/>
        </w:rPr>
        <w:t>S</w:t>
      </w:r>
      <w:r w:rsidRPr="00275F18">
        <w:rPr>
          <w:b/>
        </w:rPr>
        <w:t xml:space="preserve">1. </w:t>
      </w:r>
      <w:r w:rsidR="007241B9">
        <w:t xml:space="preserve">Association of Tumor Fraction with Clinicopathologic Characteristics in Patients with Ovarian and Endometrial Cancers. To avoid duplicate sample bias, </w:t>
      </w:r>
      <w:r w:rsidR="007241B9" w:rsidRPr="00964773">
        <w:t xml:space="preserve">the </w:t>
      </w:r>
      <w:r w:rsidR="007241B9">
        <w:t xml:space="preserve">association of the tumor fraction (TFx) of the </w:t>
      </w:r>
      <w:r w:rsidR="007241B9" w:rsidRPr="00964773">
        <w:t xml:space="preserve">first ‘sentinel’ blood draw </w:t>
      </w:r>
      <w:r w:rsidR="007241B9">
        <w:t xml:space="preserve">was evaluated relative to clinicopathologic characteristics, including: </w:t>
      </w:r>
      <w:r w:rsidR="007241B9" w:rsidRPr="00964773">
        <w:t xml:space="preserve"> </w:t>
      </w:r>
      <w:r w:rsidR="007241B9">
        <w:t>(A)</w:t>
      </w:r>
      <w:r w:rsidR="007241B9" w:rsidRPr="00964773">
        <w:t xml:space="preserve"> </w:t>
      </w:r>
      <w:r w:rsidR="007241B9">
        <w:t>ovarian versus endometrial cancer;</w:t>
      </w:r>
      <w:r w:rsidR="007241B9" w:rsidRPr="00964773">
        <w:t xml:space="preserve"> </w:t>
      </w:r>
      <w:r w:rsidR="007241B9">
        <w:t>(B</w:t>
      </w:r>
      <w:r w:rsidR="007241B9" w:rsidRPr="00964773">
        <w:t>)</w:t>
      </w:r>
      <w:r w:rsidR="007241B9">
        <w:t xml:space="preserve"> </w:t>
      </w:r>
      <w:r w:rsidR="007241B9" w:rsidRPr="00964773">
        <w:t>primary versus recurrent settings within each individual cancer type</w:t>
      </w:r>
      <w:r w:rsidR="007241B9">
        <w:t>; (</w:t>
      </w:r>
      <w:r w:rsidR="007241B9" w:rsidRPr="00964773">
        <w:t>C</w:t>
      </w:r>
      <w:r w:rsidR="007241B9">
        <w:t xml:space="preserve">-D) </w:t>
      </w:r>
      <w:r w:rsidR="007241B9" w:rsidRPr="00964773">
        <w:t>tumor histology within each cancer type</w:t>
      </w:r>
      <w:r w:rsidR="007241B9">
        <w:t>; (E) tumor</w:t>
      </w:r>
      <w:r w:rsidR="007241B9" w:rsidRPr="00964773">
        <w:t xml:space="preserve"> grade</w:t>
      </w:r>
      <w:r w:rsidR="007241B9">
        <w:t xml:space="preserve">; (F) </w:t>
      </w:r>
      <w:r w:rsidR="007241B9" w:rsidRPr="00964773">
        <w:t>best overall therapy response</w:t>
      </w:r>
      <w:r w:rsidR="007241B9">
        <w:t>. TFx is presented as log</w:t>
      </w:r>
      <w:r w:rsidR="007241B9" w:rsidRPr="00EB54B7">
        <w:rPr>
          <w:vertAlign w:val="subscript"/>
        </w:rPr>
        <w:t>10</w:t>
      </w:r>
      <w:r w:rsidR="007241B9">
        <w:t xml:space="preserve"> transformed in each y-axis.</w:t>
      </w:r>
    </w:p>
    <w:p w14:paraId="237A7EC5" w14:textId="77777777" w:rsidR="007241B9" w:rsidRPr="00E06592" w:rsidRDefault="007241B9" w:rsidP="007241B9"/>
    <w:tbl>
      <w:tblPr>
        <w:tblW w:w="1046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2935"/>
        <w:gridCol w:w="1670"/>
        <w:gridCol w:w="2324"/>
        <w:gridCol w:w="2140"/>
      </w:tblGrid>
      <w:tr w:rsidR="00275F18" w:rsidRPr="00275F18" w14:paraId="06B20222" w14:textId="77777777" w:rsidTr="00275F18">
        <w:trPr>
          <w:tblCellSpacing w:w="0" w:type="dxa"/>
          <w:jc w:val="center"/>
        </w:trPr>
        <w:tc>
          <w:tcPr>
            <w:tcW w:w="90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C2C7" w14:textId="74C328FA" w:rsidR="00275F18" w:rsidRPr="00275F18" w:rsidRDefault="00275F18" w:rsidP="00275F18">
            <w:pPr>
              <w:pStyle w:val="MDPI41tablecaption"/>
              <w:ind w:left="0"/>
              <w:rPr>
                <w:sz w:val="20"/>
              </w:rPr>
            </w:pPr>
            <w:r w:rsidRPr="00275F18">
              <w:rPr>
                <w:rStyle w:val="Strong"/>
                <w:rFonts w:ascii="Arial" w:hAnsi="Arial" w:cs="Arial"/>
                <w:sz w:val="20"/>
              </w:rPr>
              <w:t xml:space="preserve">Table S1. </w:t>
            </w:r>
            <w:r w:rsidRPr="00275F18">
              <w:rPr>
                <w:rStyle w:val="Strong"/>
                <w:rFonts w:ascii="Arial" w:hAnsi="Arial" w:cs="Arial"/>
                <w:sz w:val="20"/>
              </w:rPr>
              <w:t>Tumor fraction association with clinical and pathologic variables in endometrial and ovarian cancer</w:t>
            </w:r>
            <w:r w:rsidRPr="00275F18">
              <w:rPr>
                <w:rStyle w:val="Strong"/>
                <w:rFonts w:ascii="Arial" w:hAnsi="Arial" w:cs="Arial"/>
                <w:sz w:val="20"/>
              </w:rPr>
              <w:t>.</w:t>
            </w:r>
          </w:p>
        </w:tc>
      </w:tr>
      <w:tr w:rsidR="00275F18" w:rsidRPr="00275F18" w14:paraId="3A5E2FA7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7608862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Cancer Site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400FD71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Outcome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BC00F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Raw P-Value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97D317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Adjusted P-Value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2DF44C6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Test Type</w:t>
            </w:r>
          </w:p>
        </w:tc>
      </w:tr>
      <w:tr w:rsidR="00275F18" w:rsidRPr="00275F18" w14:paraId="055E67A3" w14:textId="77777777" w:rsidTr="00275F18">
        <w:trPr>
          <w:tblCellSpacing w:w="0" w:type="dxa"/>
          <w:jc w:val="center"/>
        </w:trPr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56FDB2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4F825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Histology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46F91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0.620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CE28B7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FCD404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Rank Sum</w:t>
            </w:r>
          </w:p>
        </w:tc>
      </w:tr>
      <w:tr w:rsidR="00275F18" w:rsidRPr="00275F18" w14:paraId="34FFBE4A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11BA84F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3B8B229D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MSI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BBADA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0.242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2030BC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9E8D9FE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40410061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5233EEA1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2D5676D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Grade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1A2CE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0.481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C3ABF51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4CA4EE1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ANOVA</w:t>
            </w:r>
          </w:p>
        </w:tc>
      </w:tr>
      <w:tr w:rsidR="00275F18" w:rsidRPr="00275F18" w14:paraId="0050C2B8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18B85FA2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74398DE2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Stage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05149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0.622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60F461BD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A566AED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Rank Sum</w:t>
            </w:r>
          </w:p>
        </w:tc>
      </w:tr>
      <w:tr w:rsidR="00275F18" w:rsidRPr="00275F18" w14:paraId="78FB515F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354ABE4C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lastRenderedPageBreak/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F733EF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Therapy Response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42FA98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0.990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4B947EE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0.990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AD503B1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ANOVA</w:t>
            </w:r>
          </w:p>
        </w:tc>
      </w:tr>
      <w:tr w:rsidR="00275F18" w:rsidRPr="00275F18" w14:paraId="7BD71F6E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5C6DB2EE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77763364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Vital Status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C9E88D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0.527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8F4E10C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56A58A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ANOVA</w:t>
            </w:r>
          </w:p>
        </w:tc>
      </w:tr>
      <w:tr w:rsidR="00275F18" w:rsidRPr="00275F18" w14:paraId="2D24CF6F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06DDC456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4C1D70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Peritoneal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62314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0.646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210A656A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6E1527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48FD6D84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78369E0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62586D8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Liver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56F5DF6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0.579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4C7498D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018F861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1C4C713F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3D5F375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8DB155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Pleural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CF8E4A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0.705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092903D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1B4487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0F449719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3BA12EF7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3193929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Nodal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6BBB6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0.988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1100D3EE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0.990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7CF1AD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4652E2A4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55656562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Endometrial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2DEF4F7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Other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C98E62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0.061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F6817D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0.667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768B0C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Rank Sum</w:t>
            </w:r>
          </w:p>
        </w:tc>
      </w:tr>
      <w:tr w:rsidR="00275F18" w:rsidRPr="00275F18" w14:paraId="5048D951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74CD7C5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A2778B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Histology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4DA738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0.239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6914DA6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0.614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00C3B3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Rank Sum</w:t>
            </w:r>
          </w:p>
        </w:tc>
      </w:tr>
      <w:tr w:rsidR="00275F18" w:rsidRPr="00275F18" w14:paraId="2BCB3CD0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15C5C99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5FD2DB6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BRCA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36DCF3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0.273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4EC71F68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0.614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80CBD6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2D6B2A61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2EE8BEF8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31F30DE8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Grade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6940A4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0.010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64E1B8B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0.094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278C004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26BAA4A0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0345855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1D17F8C6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Stage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AF8BF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0.841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898560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0.841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728E3DE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Rank Sum</w:t>
            </w:r>
          </w:p>
        </w:tc>
      </w:tr>
      <w:tr w:rsidR="00275F18" w:rsidRPr="00275F18" w14:paraId="4E5EA46F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614A53F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7B83C2EE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Therapy Response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8DA1801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0.398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31D7957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0.716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68CB092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ANOVA</w:t>
            </w:r>
          </w:p>
        </w:tc>
      </w:tr>
      <w:tr w:rsidR="00275F18" w:rsidRPr="00275F18" w14:paraId="77D4FAEF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1FD7168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198841F1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Vital Status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56688F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0.828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CF5FDA7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0.841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410E95A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ANOVA</w:t>
            </w:r>
          </w:p>
        </w:tc>
      </w:tr>
      <w:tr w:rsidR="00275F18" w:rsidRPr="00275F18" w14:paraId="7AC79620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40AB897A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FC5E178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Peritoneal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5676B65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0.623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5B8FE160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0.801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9C5F7FE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289647ED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55D73512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3C1BDFA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Liver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60345C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0.481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49C5585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0.722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2DB77F9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  <w:tr w:rsidR="00275F18" w:rsidRPr="00275F18" w14:paraId="0D867020" w14:textId="77777777" w:rsidTr="00275F18">
        <w:trPr>
          <w:tblCellSpacing w:w="0" w:type="dxa"/>
          <w:jc w:val="center"/>
        </w:trPr>
        <w:tc>
          <w:tcPr>
            <w:tcW w:w="1204" w:type="dxa"/>
            <w:shd w:val="clear" w:color="auto" w:fill="auto"/>
            <w:vAlign w:val="center"/>
            <w:hideMark/>
          </w:tcPr>
          <w:p w14:paraId="285218FB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Ovarian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70950C67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Metastasis - Pleural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109C69A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0.180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14:paraId="0F14CD1A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0.614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C0D190A" w14:textId="77777777" w:rsidR="00275F18" w:rsidRPr="00275F18" w:rsidRDefault="00275F18" w:rsidP="00275F18">
            <w:pPr>
              <w:jc w:val="center"/>
              <w:rPr>
                <w:rFonts w:ascii="Arial" w:hAnsi="Arial" w:cs="Arial"/>
                <w:szCs w:val="22"/>
              </w:rPr>
            </w:pPr>
            <w:r w:rsidRPr="00275F18">
              <w:rPr>
                <w:rFonts w:ascii="Arial" w:hAnsi="Arial" w:cs="Arial"/>
                <w:szCs w:val="22"/>
              </w:rPr>
              <w:t>T-test</w:t>
            </w:r>
          </w:p>
        </w:tc>
      </w:tr>
    </w:tbl>
    <w:p w14:paraId="798826C8" w14:textId="77777777" w:rsidR="00275F18" w:rsidRDefault="00275F18" w:rsidP="00275F18">
      <w:pPr>
        <w:rPr>
          <w:rFonts w:ascii="Arial" w:hAnsi="Arial" w:cs="Arial"/>
        </w:rPr>
      </w:pPr>
    </w:p>
    <w:p w14:paraId="2D5E0470" w14:textId="77777777" w:rsidR="000D6839" w:rsidRPr="007241B9" w:rsidRDefault="000D6839" w:rsidP="007241B9"/>
    <w:sectPr w:rsidR="000D6839" w:rsidRPr="007241B9" w:rsidSect="0017495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3445" w14:textId="77777777" w:rsidR="009F3D62" w:rsidRDefault="009F3D62">
      <w:pPr>
        <w:spacing w:line="240" w:lineRule="auto"/>
      </w:pPr>
      <w:r>
        <w:separator/>
      </w:r>
    </w:p>
  </w:endnote>
  <w:endnote w:type="continuationSeparator" w:id="0">
    <w:p w14:paraId="65203319" w14:textId="77777777" w:rsidR="009F3D62" w:rsidRDefault="009F3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F78" w14:textId="77777777" w:rsidR="00AF7CE2" w:rsidRPr="00164C5C" w:rsidRDefault="00AF7CE2" w:rsidP="00AF7CE2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57CD" w14:textId="77777777" w:rsidR="005F530C" w:rsidRDefault="005F530C" w:rsidP="00B16808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0E571DA8" w14:textId="77777777" w:rsidR="00AF7CE2" w:rsidRPr="008B308E" w:rsidRDefault="00AF7CE2" w:rsidP="00AC5F8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</w:rPr>
      <w:t xml:space="preserve">Cancers </w:t>
    </w:r>
    <w:r w:rsidR="009A5A53" w:rsidRPr="009A5A53">
      <w:rPr>
        <w:b/>
      </w:rPr>
      <w:t>2021</w:t>
    </w:r>
    <w:r w:rsidR="00F71A8C" w:rsidRPr="00F71A8C">
      <w:t xml:space="preserve">, </w:t>
    </w:r>
    <w:r w:rsidR="009A5A53" w:rsidRPr="009A5A53">
      <w:rPr>
        <w:i/>
      </w:rPr>
      <w:t>13</w:t>
    </w:r>
    <w:r w:rsidR="00F71A8C" w:rsidRPr="00F71A8C">
      <w:t xml:space="preserve">, </w:t>
    </w:r>
    <w:r w:rsidR="00534C4A">
      <w:t>x</w:t>
    </w:r>
    <w:r w:rsidR="005F530C">
      <w:t>. https://doi.org/10.3390/xxxxx</w:t>
    </w:r>
    <w:r w:rsidR="00AC5F82" w:rsidRPr="008B308E">
      <w:rPr>
        <w:lang w:val="fr-CH"/>
      </w:rPr>
      <w:tab/>
    </w:r>
    <w:r w:rsidRPr="008B308E">
      <w:rPr>
        <w:lang w:val="fr-CH"/>
      </w:rPr>
      <w:t>www.mdpi.com/journal/</w:t>
    </w:r>
    <w:r w:rsidRPr="00511F0B">
      <w:t>cancers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FADB0" w14:textId="77777777" w:rsidR="009F3D62" w:rsidRDefault="009F3D62">
      <w:pPr>
        <w:spacing w:line="240" w:lineRule="auto"/>
      </w:pPr>
      <w:r>
        <w:separator/>
      </w:r>
    </w:p>
  </w:footnote>
  <w:footnote w:type="continuationSeparator" w:id="0">
    <w:p w14:paraId="2A272ACE" w14:textId="77777777" w:rsidR="009F3D62" w:rsidRDefault="009F3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8EEC" w14:textId="77777777" w:rsidR="00AF7CE2" w:rsidRDefault="00AF7CE2" w:rsidP="00AF7CE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4DEE4" w14:textId="77777777" w:rsidR="005F530C" w:rsidRDefault="00AF7CE2" w:rsidP="00AC5F8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Cancers </w:t>
    </w:r>
    <w:r w:rsidR="001059C9" w:rsidRPr="001059C9">
      <w:rPr>
        <w:b/>
        <w:sz w:val="16"/>
      </w:rPr>
      <w:t>2021</w:t>
    </w:r>
    <w:r w:rsidR="00F71A8C" w:rsidRPr="00F71A8C">
      <w:rPr>
        <w:sz w:val="16"/>
      </w:rPr>
      <w:t xml:space="preserve">, </w:t>
    </w:r>
    <w:r w:rsidR="001059C9" w:rsidRPr="001059C9">
      <w:rPr>
        <w:i/>
        <w:sz w:val="16"/>
      </w:rPr>
      <w:t>13</w:t>
    </w:r>
    <w:r w:rsidR="00534C4A">
      <w:rPr>
        <w:sz w:val="16"/>
      </w:rPr>
      <w:t>, x FOR PEER REVIEW</w:t>
    </w:r>
    <w:r w:rsidR="00AC5F82">
      <w:rPr>
        <w:sz w:val="16"/>
      </w:rPr>
      <w:tab/>
    </w:r>
    <w:r w:rsidR="00534C4A">
      <w:rPr>
        <w:sz w:val="16"/>
      </w:rPr>
      <w:fldChar w:fldCharType="begin"/>
    </w:r>
    <w:r w:rsidR="00534C4A">
      <w:rPr>
        <w:sz w:val="16"/>
      </w:rPr>
      <w:instrText xml:space="preserve"> PAGE   \* MERGEFORMAT </w:instrText>
    </w:r>
    <w:r w:rsidR="00534C4A">
      <w:rPr>
        <w:sz w:val="16"/>
      </w:rPr>
      <w:fldChar w:fldCharType="separate"/>
    </w:r>
    <w:r w:rsidR="00B43CFF">
      <w:rPr>
        <w:sz w:val="16"/>
      </w:rPr>
      <w:t>6</w:t>
    </w:r>
    <w:r w:rsidR="00534C4A">
      <w:rPr>
        <w:sz w:val="16"/>
      </w:rPr>
      <w:fldChar w:fldCharType="end"/>
    </w:r>
    <w:r w:rsidR="00534C4A">
      <w:rPr>
        <w:sz w:val="16"/>
      </w:rPr>
      <w:t xml:space="preserve"> of </w:t>
    </w:r>
    <w:r w:rsidR="00534C4A">
      <w:rPr>
        <w:sz w:val="16"/>
      </w:rPr>
      <w:fldChar w:fldCharType="begin"/>
    </w:r>
    <w:r w:rsidR="00534C4A">
      <w:rPr>
        <w:sz w:val="16"/>
      </w:rPr>
      <w:instrText xml:space="preserve"> NUMPAGES   \* MERGEFORMAT </w:instrText>
    </w:r>
    <w:r w:rsidR="00534C4A">
      <w:rPr>
        <w:sz w:val="16"/>
      </w:rPr>
      <w:fldChar w:fldCharType="separate"/>
    </w:r>
    <w:r w:rsidR="00B43CFF">
      <w:rPr>
        <w:sz w:val="16"/>
      </w:rPr>
      <w:t>6</w:t>
    </w:r>
    <w:r w:rsidR="00534C4A">
      <w:rPr>
        <w:sz w:val="16"/>
      </w:rPr>
      <w:fldChar w:fldCharType="end"/>
    </w:r>
  </w:p>
  <w:p w14:paraId="7FC7C93C" w14:textId="77777777" w:rsidR="00AF7CE2" w:rsidRPr="00836BB8" w:rsidRDefault="00AF7CE2" w:rsidP="00B1680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5F530C" w:rsidRPr="00AC5F82" w14:paraId="1690EE45" w14:textId="77777777" w:rsidTr="00AC5F82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CCB6A18" w14:textId="77777777" w:rsidR="005F530C" w:rsidRPr="00BD0BE9" w:rsidRDefault="007241B9" w:rsidP="00AC5F82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 w:rsidRPr="00BD0BE9">
            <w:rPr>
              <w:rFonts w:eastAsia="等线"/>
              <w:b/>
              <w:bCs/>
            </w:rPr>
            <w:drawing>
              <wp:inline distT="0" distB="0" distL="0" distR="0" wp14:anchorId="2FAEB698" wp14:editId="5C9F9EEA">
                <wp:extent cx="1687830" cy="427990"/>
                <wp:effectExtent l="0" t="0" r="0" b="0"/>
                <wp:docPr id="1" name="Picture 3" descr="C:\Users\home\Desktop\logos\cancer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cancer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83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2B21275" w14:textId="77777777" w:rsidR="005F530C" w:rsidRPr="00BD0BE9" w:rsidRDefault="005F530C" w:rsidP="00AC5F82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47AD02C" w14:textId="77777777" w:rsidR="005F530C" w:rsidRPr="00BD0BE9" w:rsidRDefault="007241B9" w:rsidP="00AC5F82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 w:rsidRPr="00BD0BE9">
            <w:rPr>
              <w:rFonts w:eastAsia="等线"/>
              <w:b/>
              <w:bCs/>
            </w:rPr>
            <w:drawing>
              <wp:inline distT="0" distB="0" distL="0" distR="0" wp14:anchorId="72A04B99" wp14:editId="0A812F8F">
                <wp:extent cx="539115" cy="35750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118F14" w14:textId="77777777" w:rsidR="00AF7CE2" w:rsidRPr="005F530C" w:rsidRDefault="00AF7CE2" w:rsidP="00B1680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C5FCF346"/>
    <w:lvl w:ilvl="0" w:tplc="FD368BC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F88"/>
    <w:multiLevelType w:val="hybridMultilevel"/>
    <w:tmpl w:val="C77C711C"/>
    <w:lvl w:ilvl="0" w:tplc="5286504C">
      <w:start w:val="169"/>
      <w:numFmt w:val="bullet"/>
      <w:lvlText w:val=""/>
      <w:lvlJc w:val="left"/>
      <w:pPr>
        <w:ind w:left="58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8B468F5"/>
    <w:multiLevelType w:val="hybridMultilevel"/>
    <w:tmpl w:val="03C848F0"/>
    <w:lvl w:ilvl="0" w:tplc="FCCE16A8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1D828FAC"/>
    <w:lvl w:ilvl="0" w:tplc="8252FAA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075B53"/>
    <w:multiLevelType w:val="hybridMultilevel"/>
    <w:tmpl w:val="CEBA3FD4"/>
    <w:lvl w:ilvl="0" w:tplc="049056F2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6CF7C60"/>
    <w:multiLevelType w:val="hybridMultilevel"/>
    <w:tmpl w:val="BB52EB1E"/>
    <w:lvl w:ilvl="0" w:tplc="08086F0C">
      <w:start w:val="1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07530543">
    <w:abstractNumId w:val="5"/>
  </w:num>
  <w:num w:numId="2" w16cid:durableId="368528910">
    <w:abstractNumId w:val="7"/>
  </w:num>
  <w:num w:numId="3" w16cid:durableId="587884531">
    <w:abstractNumId w:val="4"/>
  </w:num>
  <w:num w:numId="4" w16cid:durableId="632174781">
    <w:abstractNumId w:val="6"/>
  </w:num>
  <w:num w:numId="5" w16cid:durableId="1538005281">
    <w:abstractNumId w:val="8"/>
  </w:num>
  <w:num w:numId="6" w16cid:durableId="1047799381">
    <w:abstractNumId w:val="3"/>
  </w:num>
  <w:num w:numId="7" w16cid:durableId="888568186">
    <w:abstractNumId w:val="8"/>
  </w:num>
  <w:num w:numId="8" w16cid:durableId="413358556">
    <w:abstractNumId w:val="3"/>
  </w:num>
  <w:num w:numId="9" w16cid:durableId="328405082">
    <w:abstractNumId w:val="8"/>
  </w:num>
  <w:num w:numId="10" w16cid:durableId="2138062321">
    <w:abstractNumId w:val="3"/>
  </w:num>
  <w:num w:numId="11" w16cid:durableId="2018772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995886">
    <w:abstractNumId w:val="1"/>
  </w:num>
  <w:num w:numId="13" w16cid:durableId="1691301664">
    <w:abstractNumId w:val="9"/>
  </w:num>
  <w:num w:numId="14" w16cid:durableId="118494736">
    <w:abstractNumId w:val="10"/>
  </w:num>
  <w:num w:numId="15" w16cid:durableId="722757216">
    <w:abstractNumId w:val="8"/>
  </w:num>
  <w:num w:numId="16" w16cid:durableId="1033190045">
    <w:abstractNumId w:val="3"/>
  </w:num>
  <w:num w:numId="17" w16cid:durableId="870999383">
    <w:abstractNumId w:val="8"/>
  </w:num>
  <w:num w:numId="18" w16cid:durableId="47806785">
    <w:abstractNumId w:val="3"/>
  </w:num>
  <w:num w:numId="19" w16cid:durableId="1970044744">
    <w:abstractNumId w:val="0"/>
  </w:num>
  <w:num w:numId="20" w16cid:durableId="1301378510">
    <w:abstractNumId w:val="2"/>
  </w:num>
  <w:num w:numId="21" w16cid:durableId="158167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B9"/>
    <w:rsid w:val="000618E3"/>
    <w:rsid w:val="000A6F47"/>
    <w:rsid w:val="000D4AE8"/>
    <w:rsid w:val="000D6839"/>
    <w:rsid w:val="000F0E63"/>
    <w:rsid w:val="00103E20"/>
    <w:rsid w:val="001059C9"/>
    <w:rsid w:val="00110CC2"/>
    <w:rsid w:val="00126C03"/>
    <w:rsid w:val="00135C67"/>
    <w:rsid w:val="001432AB"/>
    <w:rsid w:val="001475F2"/>
    <w:rsid w:val="00174953"/>
    <w:rsid w:val="00186691"/>
    <w:rsid w:val="001A3DE7"/>
    <w:rsid w:val="001B645A"/>
    <w:rsid w:val="001D0EB3"/>
    <w:rsid w:val="001E2AEB"/>
    <w:rsid w:val="001F7B9E"/>
    <w:rsid w:val="002026A3"/>
    <w:rsid w:val="00232A00"/>
    <w:rsid w:val="002431C5"/>
    <w:rsid w:val="00272F25"/>
    <w:rsid w:val="00275F18"/>
    <w:rsid w:val="00293431"/>
    <w:rsid w:val="002A0D6E"/>
    <w:rsid w:val="002B5823"/>
    <w:rsid w:val="002D78E7"/>
    <w:rsid w:val="00316E1B"/>
    <w:rsid w:val="00326141"/>
    <w:rsid w:val="003271CA"/>
    <w:rsid w:val="003349C3"/>
    <w:rsid w:val="003734CA"/>
    <w:rsid w:val="00375BAA"/>
    <w:rsid w:val="00394E80"/>
    <w:rsid w:val="003A004E"/>
    <w:rsid w:val="003A55A8"/>
    <w:rsid w:val="003B0587"/>
    <w:rsid w:val="00401D30"/>
    <w:rsid w:val="00420E55"/>
    <w:rsid w:val="0044756D"/>
    <w:rsid w:val="004648D4"/>
    <w:rsid w:val="004807A8"/>
    <w:rsid w:val="004D3593"/>
    <w:rsid w:val="004E0105"/>
    <w:rsid w:val="00513C95"/>
    <w:rsid w:val="00534C4A"/>
    <w:rsid w:val="00535ADB"/>
    <w:rsid w:val="005425B6"/>
    <w:rsid w:val="00547F78"/>
    <w:rsid w:val="00557A2C"/>
    <w:rsid w:val="00596A63"/>
    <w:rsid w:val="005A0BED"/>
    <w:rsid w:val="005A2FC5"/>
    <w:rsid w:val="005E2B1B"/>
    <w:rsid w:val="005F530C"/>
    <w:rsid w:val="00611407"/>
    <w:rsid w:val="00627D4F"/>
    <w:rsid w:val="0063570B"/>
    <w:rsid w:val="00676FEB"/>
    <w:rsid w:val="006837C3"/>
    <w:rsid w:val="00692393"/>
    <w:rsid w:val="0069273C"/>
    <w:rsid w:val="006A25D2"/>
    <w:rsid w:val="006B71A5"/>
    <w:rsid w:val="006D37E0"/>
    <w:rsid w:val="006F7149"/>
    <w:rsid w:val="007241B9"/>
    <w:rsid w:val="007346D0"/>
    <w:rsid w:val="00735EA3"/>
    <w:rsid w:val="007A54A4"/>
    <w:rsid w:val="007C17C4"/>
    <w:rsid w:val="007F76FE"/>
    <w:rsid w:val="00817FC9"/>
    <w:rsid w:val="00851EBD"/>
    <w:rsid w:val="00874B5B"/>
    <w:rsid w:val="008A58E0"/>
    <w:rsid w:val="008A5BFD"/>
    <w:rsid w:val="008B0E4D"/>
    <w:rsid w:val="008D036F"/>
    <w:rsid w:val="008D09DD"/>
    <w:rsid w:val="008F4843"/>
    <w:rsid w:val="00925B94"/>
    <w:rsid w:val="00963346"/>
    <w:rsid w:val="00964FB2"/>
    <w:rsid w:val="009A5A53"/>
    <w:rsid w:val="009A7C8B"/>
    <w:rsid w:val="009B0211"/>
    <w:rsid w:val="009B3704"/>
    <w:rsid w:val="009D74AE"/>
    <w:rsid w:val="009F3D62"/>
    <w:rsid w:val="009F70E6"/>
    <w:rsid w:val="00A02616"/>
    <w:rsid w:val="00A040D1"/>
    <w:rsid w:val="00A06051"/>
    <w:rsid w:val="00A453A4"/>
    <w:rsid w:val="00A53B15"/>
    <w:rsid w:val="00A54818"/>
    <w:rsid w:val="00A56CF6"/>
    <w:rsid w:val="00A70EAB"/>
    <w:rsid w:val="00A72D48"/>
    <w:rsid w:val="00AB68AF"/>
    <w:rsid w:val="00AC1C84"/>
    <w:rsid w:val="00AC2C4A"/>
    <w:rsid w:val="00AC5F82"/>
    <w:rsid w:val="00AE48A6"/>
    <w:rsid w:val="00AF4AAA"/>
    <w:rsid w:val="00AF7CE2"/>
    <w:rsid w:val="00B005DB"/>
    <w:rsid w:val="00B16352"/>
    <w:rsid w:val="00B16808"/>
    <w:rsid w:val="00B26679"/>
    <w:rsid w:val="00B43CFF"/>
    <w:rsid w:val="00B63037"/>
    <w:rsid w:val="00B74A9D"/>
    <w:rsid w:val="00B874CF"/>
    <w:rsid w:val="00B904C6"/>
    <w:rsid w:val="00B9529E"/>
    <w:rsid w:val="00BB5186"/>
    <w:rsid w:val="00BD0BE9"/>
    <w:rsid w:val="00C32442"/>
    <w:rsid w:val="00C34630"/>
    <w:rsid w:val="00C40546"/>
    <w:rsid w:val="00C44C10"/>
    <w:rsid w:val="00C770AD"/>
    <w:rsid w:val="00C862EE"/>
    <w:rsid w:val="00C90FA1"/>
    <w:rsid w:val="00CA11A5"/>
    <w:rsid w:val="00CB5381"/>
    <w:rsid w:val="00CB5C68"/>
    <w:rsid w:val="00CD4EB1"/>
    <w:rsid w:val="00D109C8"/>
    <w:rsid w:val="00D47808"/>
    <w:rsid w:val="00D5041F"/>
    <w:rsid w:val="00D52E07"/>
    <w:rsid w:val="00D6737D"/>
    <w:rsid w:val="00D67A84"/>
    <w:rsid w:val="00D81694"/>
    <w:rsid w:val="00DA4414"/>
    <w:rsid w:val="00DE3283"/>
    <w:rsid w:val="00E13705"/>
    <w:rsid w:val="00E2144B"/>
    <w:rsid w:val="00E21B5D"/>
    <w:rsid w:val="00E317F8"/>
    <w:rsid w:val="00E521BD"/>
    <w:rsid w:val="00E5365E"/>
    <w:rsid w:val="00EC2D4D"/>
    <w:rsid w:val="00F17E93"/>
    <w:rsid w:val="00F22713"/>
    <w:rsid w:val="00F5117F"/>
    <w:rsid w:val="00F528E5"/>
    <w:rsid w:val="00F71A8C"/>
    <w:rsid w:val="00F90736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A47E9"/>
  <w15:chartTrackingRefBased/>
  <w15:docId w15:val="{FB3DD76E-D7CA-49A6-8DB7-B2E9EB9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39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  <w:rsid w:val="000D683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6839"/>
  </w:style>
  <w:style w:type="paragraph" w:customStyle="1" w:styleId="MDPI11articletype">
    <w:name w:val="MDPI_1.1_article_type"/>
    <w:next w:val="Normal"/>
    <w:qFormat/>
    <w:rsid w:val="00174953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12title">
    <w:name w:val="MDPI_1.2_title"/>
    <w:next w:val="Normal"/>
    <w:qFormat/>
    <w:rsid w:val="00174953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paragraph" w:customStyle="1" w:styleId="MDPI13authornames">
    <w:name w:val="MDPI_1.3_authornames"/>
    <w:next w:val="Normal"/>
    <w:qFormat/>
    <w:rsid w:val="00174953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14history">
    <w:name w:val="MDPI_1.4_history"/>
    <w:basedOn w:val="Normal"/>
    <w:next w:val="Normal"/>
    <w:qFormat/>
    <w:rsid w:val="0017495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kern w:val="2"/>
      <w:sz w:val="14"/>
      <w:lang w:eastAsia="de-DE" w:bidi="en-US"/>
      <w14:ligatures w14:val="standardContextual"/>
    </w:rPr>
  </w:style>
  <w:style w:type="paragraph" w:customStyle="1" w:styleId="MDPI16affiliation">
    <w:name w:val="MDPI_1.6_affiliation"/>
    <w:qFormat/>
    <w:rsid w:val="00174953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kern w:val="2"/>
      <w:sz w:val="16"/>
      <w:szCs w:val="18"/>
      <w:lang w:eastAsia="de-DE" w:bidi="en-US"/>
      <w14:ligatures w14:val="standardContextual"/>
    </w:rPr>
  </w:style>
  <w:style w:type="paragraph" w:customStyle="1" w:styleId="MDPI17abstract">
    <w:name w:val="MDPI_1.7_abstract"/>
    <w:next w:val="Normal"/>
    <w:qFormat/>
    <w:rsid w:val="00174953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18keywords">
    <w:name w:val="MDPI_1.8_keywords"/>
    <w:next w:val="Normal"/>
    <w:qFormat/>
    <w:rsid w:val="00174953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19line">
    <w:name w:val="MDPI_1.9_line"/>
    <w:qFormat/>
    <w:rsid w:val="00174953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Cs w:val="24"/>
      <w:lang w:eastAsia="de-DE" w:bidi="en-US"/>
      <w14:ligatures w14:val="standardContextual"/>
    </w:rPr>
  </w:style>
  <w:style w:type="table" w:customStyle="1" w:styleId="Mdeck5tablebodythreelines">
    <w:name w:val="M_deck_5_table_body_three_lines"/>
    <w:basedOn w:val="TableNormal"/>
    <w:uiPriority w:val="99"/>
    <w:rsid w:val="003A55A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D68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D68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0D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174953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kern w:val="2"/>
      <w:sz w:val="24"/>
      <w:szCs w:val="22"/>
      <w:lang w:eastAsia="de-CH"/>
      <w14:ligatures w14:val="standardContextual"/>
    </w:rPr>
  </w:style>
  <w:style w:type="paragraph" w:customStyle="1" w:styleId="MDPI32textnoindent">
    <w:name w:val="MDPI_3.2_text_no_indent"/>
    <w:basedOn w:val="MDPI31text"/>
    <w:qFormat/>
    <w:rsid w:val="00174953"/>
    <w:pPr>
      <w:ind w:firstLine="0"/>
    </w:pPr>
  </w:style>
  <w:style w:type="paragraph" w:customStyle="1" w:styleId="MDPI31text">
    <w:name w:val="MDPI_3.1_text"/>
    <w:qFormat/>
    <w:rsid w:val="0017495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3textspaceafter">
    <w:name w:val="MDPI_3.3_text_space_after"/>
    <w:qFormat/>
    <w:rsid w:val="0017495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4textspacebefore">
    <w:name w:val="MDPI_3.4_text_space_before"/>
    <w:qFormat/>
    <w:rsid w:val="00174953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5textbeforelist">
    <w:name w:val="MDPI_3.5_text_before_list"/>
    <w:qFormat/>
    <w:rsid w:val="00174953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6textafterlist">
    <w:name w:val="MDPI_3.6_text_after_list"/>
    <w:qFormat/>
    <w:rsid w:val="00174953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7itemize">
    <w:name w:val="MDPI_3.7_itemize"/>
    <w:qFormat/>
    <w:rsid w:val="00174953"/>
    <w:pPr>
      <w:numPr>
        <w:numId w:val="1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8bullet">
    <w:name w:val="MDPI_3.8_bullet"/>
    <w:qFormat/>
    <w:rsid w:val="00174953"/>
    <w:pPr>
      <w:numPr>
        <w:numId w:val="1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9equation">
    <w:name w:val="MDPI_3.9_equation"/>
    <w:qFormat/>
    <w:rsid w:val="0017495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3aequationnumber">
    <w:name w:val="MDPI_3.a_equation_number"/>
    <w:qFormat/>
    <w:rsid w:val="00174953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tablecaption">
    <w:name w:val="MDPI_4.1_table_caption"/>
    <w:qFormat/>
    <w:rsid w:val="00174953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theme="minorBidi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42tablebody">
    <w:name w:val="MDPI_4.2_table_body"/>
    <w:qFormat/>
    <w:rsid w:val="00174953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43tablefooter">
    <w:name w:val="MDPI_4.3_table_footer"/>
    <w:next w:val="MDPI31text"/>
    <w:qFormat/>
    <w:rsid w:val="00174953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2"/>
      <w:sz w:val="18"/>
      <w:szCs w:val="22"/>
      <w:lang w:eastAsia="de-DE" w:bidi="en-US"/>
      <w14:ligatures w14:val="standardContextual"/>
    </w:rPr>
  </w:style>
  <w:style w:type="paragraph" w:customStyle="1" w:styleId="MDPI51figurecaption">
    <w:name w:val="MDPI_5.1_figure_caption"/>
    <w:qFormat/>
    <w:rsid w:val="00174953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paragraph" w:customStyle="1" w:styleId="MDPI52figure">
    <w:name w:val="MDPI_5.2_figure"/>
    <w:qFormat/>
    <w:rsid w:val="00174953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kern w:val="2"/>
      <w:lang w:eastAsia="de-DE" w:bidi="en-US"/>
      <w14:ligatures w14:val="standardContextual"/>
    </w:rPr>
  </w:style>
  <w:style w:type="paragraph" w:customStyle="1" w:styleId="MDPI81theorem">
    <w:name w:val="MDPI_8.1_theorem"/>
    <w:qFormat/>
    <w:rsid w:val="0017495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82proof">
    <w:name w:val="MDPI_8.2_proof"/>
    <w:qFormat/>
    <w:rsid w:val="00174953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footerfirstpage">
    <w:name w:val="MDPI_footer_firstpage"/>
    <w:qFormat/>
    <w:rsid w:val="00174953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kern w:val="2"/>
      <w:sz w:val="16"/>
      <w:lang w:eastAsia="de-DE"/>
      <w14:ligatures w14:val="standardContextual"/>
    </w:rPr>
  </w:style>
  <w:style w:type="paragraph" w:customStyle="1" w:styleId="MDPI23heading3">
    <w:name w:val="MDPI_2.3_heading3"/>
    <w:qFormat/>
    <w:rsid w:val="0017495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21heading1">
    <w:name w:val="MDPI_2.1_heading1"/>
    <w:qFormat/>
    <w:rsid w:val="0017495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22heading2">
    <w:name w:val="MDPI_2.2_heading2"/>
    <w:qFormat/>
    <w:rsid w:val="0017495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71References">
    <w:name w:val="MDPI_7.1_References"/>
    <w:qFormat/>
    <w:rsid w:val="00174953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kern w:val="2"/>
      <w:sz w:val="18"/>
      <w:lang w:eastAsia="de-DE" w:bidi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rsid w:val="000D6839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0D6839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0D6839"/>
  </w:style>
  <w:style w:type="table" w:customStyle="1" w:styleId="MDPI41threelinetable">
    <w:name w:val="MDPI_4.1_three_line_table"/>
    <w:basedOn w:val="TableNormal"/>
    <w:uiPriority w:val="99"/>
    <w:rsid w:val="00174953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  <w:kern w:val="2"/>
      <w14:ligatures w14:val="standardContextua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0D683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6334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F71A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174953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kern w:val="2"/>
      <w:sz w:val="14"/>
      <w:szCs w:val="22"/>
      <w14:ligatures w14:val="standardContextual"/>
    </w:rPr>
  </w:style>
  <w:style w:type="paragraph" w:customStyle="1" w:styleId="MDPI62BackMatter">
    <w:name w:val="MDPI_6.2_BackMatter"/>
    <w:qFormat/>
    <w:rsid w:val="0017495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kern w:val="2"/>
      <w:sz w:val="18"/>
      <w:lang w:eastAsia="en-US" w:bidi="en-US"/>
      <w14:ligatures w14:val="standardContextual"/>
    </w:rPr>
  </w:style>
  <w:style w:type="paragraph" w:customStyle="1" w:styleId="MDPI63Notes">
    <w:name w:val="MDPI_6.3_Notes"/>
    <w:qFormat/>
    <w:rsid w:val="00174953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kern w:val="2"/>
      <w:sz w:val="18"/>
      <w:lang w:eastAsia="en-US" w:bidi="en-US"/>
      <w14:ligatures w14:val="standardContextual"/>
    </w:rPr>
  </w:style>
  <w:style w:type="paragraph" w:customStyle="1" w:styleId="MDPI15academiceditor">
    <w:name w:val="MDPI_1.5_academic_editor"/>
    <w:qFormat/>
    <w:rsid w:val="00174953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kern w:val="2"/>
      <w:sz w:val="14"/>
      <w:szCs w:val="22"/>
      <w:lang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174953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kern w:val="2"/>
      <w:szCs w:val="22"/>
      <w:lang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174953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theme="minorBidi"/>
      <w:noProof/>
      <w:color w:val="000000"/>
      <w:kern w:val="2"/>
      <w:sz w:val="18"/>
      <w:szCs w:val="22"/>
      <w:lang w:bidi="en-US"/>
      <w14:ligatures w14:val="standardContextual"/>
    </w:rPr>
  </w:style>
  <w:style w:type="paragraph" w:customStyle="1" w:styleId="MDPI511onefigurecaption">
    <w:name w:val="MDPI_5.1.1_one_figure_caption"/>
    <w:qFormat/>
    <w:rsid w:val="00174953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kern w:val="2"/>
      <w:sz w:val="18"/>
      <w:lang w:bidi="en-US"/>
      <w14:ligatures w14:val="standardContextual"/>
    </w:rPr>
  </w:style>
  <w:style w:type="paragraph" w:customStyle="1" w:styleId="MDPI72Copyright">
    <w:name w:val="MDPI_7.2_Copyright"/>
    <w:qFormat/>
    <w:rsid w:val="00174953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kern w:val="2"/>
      <w:sz w:val="14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17495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kern w:val="2"/>
      <w:lang w:eastAsia="de-CH"/>
      <w14:ligatures w14:val="standardContextual"/>
    </w:rPr>
  </w:style>
  <w:style w:type="paragraph" w:customStyle="1" w:styleId="MDPIequationFram">
    <w:name w:val="MDPI_equationFram"/>
    <w:qFormat/>
    <w:rsid w:val="00174953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kern w:val="2"/>
      <w:szCs w:val="22"/>
      <w:lang w:eastAsia="de-DE" w:bidi="en-US"/>
      <w14:ligatures w14:val="standardContextual"/>
    </w:rPr>
  </w:style>
  <w:style w:type="paragraph" w:customStyle="1" w:styleId="MDPIfooter">
    <w:name w:val="MDPI_footer"/>
    <w:qFormat/>
    <w:rsid w:val="00174953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kern w:val="2"/>
      <w:lang w:eastAsia="de-DE"/>
      <w14:ligatures w14:val="standardContextual"/>
    </w:rPr>
  </w:style>
  <w:style w:type="paragraph" w:customStyle="1" w:styleId="MDPIheader">
    <w:name w:val="MDPI_header"/>
    <w:qFormat/>
    <w:rsid w:val="0017495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kern w:val="2"/>
      <w:sz w:val="16"/>
      <w:lang w:eastAsia="de-DE"/>
      <w14:ligatures w14:val="standardContextual"/>
    </w:rPr>
  </w:style>
  <w:style w:type="paragraph" w:customStyle="1" w:styleId="MDPIheadercitation">
    <w:name w:val="MDPI_header_citation"/>
    <w:rsid w:val="00174953"/>
    <w:pPr>
      <w:spacing w:after="240"/>
    </w:pPr>
    <w:rPr>
      <w:rFonts w:ascii="Palatino Linotype" w:eastAsia="Times New Roman" w:hAnsi="Palatino Linotype"/>
      <w:snapToGrid w:val="0"/>
      <w:color w:val="000000"/>
      <w:kern w:val="2"/>
      <w:sz w:val="18"/>
      <w:lang w:eastAsia="de-DE" w:bidi="en-US"/>
      <w14:ligatures w14:val="standardContextual"/>
    </w:rPr>
  </w:style>
  <w:style w:type="paragraph" w:customStyle="1" w:styleId="MDPIheadermdpilogo">
    <w:name w:val="MDPI_header_mdpi_logo"/>
    <w:qFormat/>
    <w:rsid w:val="00174953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kern w:val="2"/>
      <w:sz w:val="24"/>
      <w:szCs w:val="22"/>
      <w:lang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174953"/>
    <w:rPr>
      <w:rFonts w:ascii="Palatino Linotype" w:hAnsi="Palatino Linotype"/>
      <w:color w:val="000000" w:themeColor="text1"/>
      <w:kern w:val="2"/>
      <w:lang w:val="en-CA" w:eastAsia="en-US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174953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kern w:val="2"/>
      <w:sz w:val="22"/>
      <w:szCs w:val="22"/>
      <w:lang w:eastAsia="de-DE" w:bidi="en-US"/>
      <w14:ligatures w14:val="standardContextual"/>
    </w:rPr>
  </w:style>
  <w:style w:type="paragraph" w:customStyle="1" w:styleId="MDPItitle">
    <w:name w:val="MDPI_title"/>
    <w:qFormat/>
    <w:rsid w:val="0017495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kern w:val="2"/>
      <w:sz w:val="36"/>
      <w:lang w:eastAsia="de-DE" w:bidi="en-US"/>
      <w14:ligatures w14:val="standardContextual"/>
    </w:rPr>
  </w:style>
  <w:style w:type="character" w:customStyle="1" w:styleId="apple-converted-space">
    <w:name w:val="apple-converted-space"/>
    <w:rsid w:val="000D6839"/>
  </w:style>
  <w:style w:type="paragraph" w:styleId="Bibliography">
    <w:name w:val="Bibliography"/>
    <w:basedOn w:val="Normal"/>
    <w:next w:val="Normal"/>
    <w:uiPriority w:val="37"/>
    <w:semiHidden/>
    <w:unhideWhenUsed/>
    <w:rsid w:val="000D6839"/>
  </w:style>
  <w:style w:type="paragraph" w:styleId="BodyText">
    <w:name w:val="Body Text"/>
    <w:link w:val="BodyTextChar"/>
    <w:rsid w:val="000D68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0D6839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0D6839"/>
    <w:rPr>
      <w:sz w:val="21"/>
      <w:szCs w:val="21"/>
    </w:rPr>
  </w:style>
  <w:style w:type="paragraph" w:styleId="CommentText">
    <w:name w:val="annotation text"/>
    <w:basedOn w:val="Normal"/>
    <w:link w:val="CommentTextChar"/>
    <w:rsid w:val="000D6839"/>
  </w:style>
  <w:style w:type="character" w:customStyle="1" w:styleId="CommentTextChar">
    <w:name w:val="Comment Text Char"/>
    <w:link w:val="CommentText"/>
    <w:rsid w:val="000D6839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D6839"/>
    <w:rPr>
      <w:b/>
      <w:bCs/>
    </w:rPr>
  </w:style>
  <w:style w:type="character" w:customStyle="1" w:styleId="CommentSubjectChar">
    <w:name w:val="Comment Subject Char"/>
    <w:link w:val="CommentSubject"/>
    <w:rsid w:val="000D6839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0D683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D6839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0D6839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0D6839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D6839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0D6839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0D6839"/>
    <w:rPr>
      <w:szCs w:val="24"/>
    </w:rPr>
  </w:style>
  <w:style w:type="paragraph" w:customStyle="1" w:styleId="MsoFootnoteText0">
    <w:name w:val="MsoFootnoteText"/>
    <w:basedOn w:val="NormalWeb"/>
    <w:qFormat/>
    <w:rsid w:val="000D6839"/>
    <w:rPr>
      <w:rFonts w:ascii="Times New Roman" w:hAnsi="Times New Roman"/>
    </w:rPr>
  </w:style>
  <w:style w:type="character" w:styleId="PageNumber">
    <w:name w:val="page number"/>
    <w:rsid w:val="000D6839"/>
  </w:style>
  <w:style w:type="character" w:styleId="PlaceholderText">
    <w:name w:val="Placeholder Text"/>
    <w:uiPriority w:val="99"/>
    <w:semiHidden/>
    <w:rsid w:val="000D6839"/>
    <w:rPr>
      <w:color w:val="808080"/>
    </w:rPr>
  </w:style>
  <w:style w:type="paragraph" w:customStyle="1" w:styleId="MDPI71FootNotes">
    <w:name w:val="MDPI_7.1_FootNotes"/>
    <w:qFormat/>
    <w:rsid w:val="00174953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kern w:val="2"/>
      <w:sz w:val="18"/>
      <w14:ligatures w14:val="standardContextual"/>
    </w:rPr>
  </w:style>
  <w:style w:type="character" w:styleId="Strong">
    <w:name w:val="Strong"/>
    <w:uiPriority w:val="22"/>
    <w:qFormat/>
    <w:rsid w:val="00275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Desktop\Word%20templates\cancer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cancers-template.dot</Template>
  <TotalTime>4</TotalTime>
  <Pages>3</Pages>
  <Words>262</Words>
  <Characters>1613</Characters>
  <Application>Microsoft Office Word</Application>
  <DocSecurity>0</DocSecurity>
  <Lines>121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Rhea Feng</cp:lastModifiedBy>
  <cp:revision>2</cp:revision>
  <cp:lastPrinted>2024-09-19T04:18:00Z</cp:lastPrinted>
  <dcterms:created xsi:type="dcterms:W3CDTF">2024-09-19T04:19:00Z</dcterms:created>
  <dcterms:modified xsi:type="dcterms:W3CDTF">2024-09-19T04:19:00Z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90eac8c795e947d03e0e3612ae1a43f5bb332fb5a931ad58d5d12f3256325d78</vt:lpwstr>
  </property>
</Properties>
</file>