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D9FF8" w14:textId="77777777" w:rsidR="0047112A" w:rsidRPr="00C31F3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center"/>
        <w:rPr>
          <w:rFonts w:asciiTheme="majorBidi" w:hAnsiTheme="majorBidi" w:cstheme="majorBidi"/>
          <w:i/>
          <w:color w:val="44546A"/>
          <w:sz w:val="20"/>
          <w:szCs w:val="20"/>
        </w:rPr>
      </w:pPr>
      <w:r w:rsidRPr="00C31F3B">
        <w:rPr>
          <w:rFonts w:asciiTheme="majorBidi" w:hAnsiTheme="majorBidi" w:cstheme="majorBidi"/>
          <w:b/>
          <w:i/>
          <w:color w:val="44546A"/>
          <w:sz w:val="20"/>
          <w:szCs w:val="20"/>
        </w:rPr>
        <w:t>Table 1</w:t>
      </w:r>
      <w:r w:rsidRPr="00C31F3B">
        <w:rPr>
          <w:rFonts w:asciiTheme="majorBidi" w:hAnsiTheme="majorBidi" w:cstheme="majorBidi"/>
          <w:i/>
          <w:color w:val="44546A"/>
          <w:sz w:val="20"/>
          <w:szCs w:val="20"/>
        </w:rPr>
        <w:t xml:space="preserve"> Advantages and disadvantages of different ligation method</w:t>
      </w:r>
    </w:p>
    <w:tbl>
      <w:tblPr>
        <w:tblStyle w:val="a"/>
        <w:tblW w:w="9016" w:type="dxa"/>
        <w:tblBorders>
          <w:top w:val="single" w:sz="4" w:space="0" w:color="666666"/>
          <w:left w:val="single" w:sz="4" w:space="0" w:color="000000"/>
          <w:bottom w:val="single" w:sz="4" w:space="0" w:color="666666"/>
          <w:right w:val="single" w:sz="4" w:space="0" w:color="000000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1589"/>
        <w:gridCol w:w="1657"/>
        <w:gridCol w:w="2973"/>
        <w:gridCol w:w="2797"/>
      </w:tblGrid>
      <w:tr w:rsidR="0047112A" w:rsidRPr="00C31F3B" w14:paraId="59A53010" w14:textId="77777777">
        <w:trPr>
          <w:trHeight w:val="863"/>
        </w:trPr>
        <w:tc>
          <w:tcPr>
            <w:tcW w:w="1589" w:type="dxa"/>
            <w:vAlign w:val="center"/>
          </w:tcPr>
          <w:p w14:paraId="188EEDF9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>LIGATION METHOD</w:t>
            </w:r>
          </w:p>
        </w:tc>
        <w:tc>
          <w:tcPr>
            <w:tcW w:w="1657" w:type="dxa"/>
            <w:vAlign w:val="center"/>
          </w:tcPr>
          <w:p w14:paraId="3E4C2D1E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>ENZYME / SYSTEM</w:t>
            </w:r>
          </w:p>
        </w:tc>
        <w:tc>
          <w:tcPr>
            <w:tcW w:w="2973" w:type="dxa"/>
            <w:vAlign w:val="center"/>
          </w:tcPr>
          <w:p w14:paraId="0B6BB291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>ADVANTAGES</w:t>
            </w:r>
          </w:p>
        </w:tc>
        <w:tc>
          <w:tcPr>
            <w:tcW w:w="2797" w:type="dxa"/>
            <w:vAlign w:val="center"/>
          </w:tcPr>
          <w:p w14:paraId="3DAE0FE9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>DISADVANTAGES</w:t>
            </w:r>
          </w:p>
        </w:tc>
      </w:tr>
      <w:tr w:rsidR="0047112A" w:rsidRPr="00C31F3B" w14:paraId="438D1F31" w14:textId="77777777">
        <w:tc>
          <w:tcPr>
            <w:tcW w:w="1589" w:type="dxa"/>
            <w:vAlign w:val="center"/>
          </w:tcPr>
          <w:p w14:paraId="3131CE86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>Chemical Ligation</w:t>
            </w:r>
          </w:p>
        </w:tc>
        <w:tc>
          <w:tcPr>
            <w:tcW w:w="1657" w:type="dxa"/>
            <w:vAlign w:val="center"/>
          </w:tcPr>
          <w:p w14:paraId="5ECCB60E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973" w:type="dxa"/>
            <w:vAlign w:val="center"/>
          </w:tcPr>
          <w:p w14:paraId="6E712CF2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- Avoids biological components, allowing chemical control over reaction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>- Potential for site-specific modifications</w:t>
            </w:r>
          </w:p>
          <w:p w14:paraId="06D63568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- Does not require ATP or cofactors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>- Simple setup and fewer enzymatic constraints</w:t>
            </w:r>
          </w:p>
        </w:tc>
        <w:tc>
          <w:tcPr>
            <w:tcW w:w="2797" w:type="dxa"/>
            <w:vAlign w:val="center"/>
          </w:tcPr>
          <w:p w14:paraId="62CB8310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- Inefficient ligation, particularly for large RNA molecules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- Formation of non-canonical 2', 5'-phosphodiester bonds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>- Safety concerns with reagents</w:t>
            </w:r>
          </w:p>
          <w:p w14:paraId="346FE411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- Difficult to achieve high yields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>- Formation of unintended byproducts</w:t>
            </w:r>
          </w:p>
        </w:tc>
      </w:tr>
      <w:tr w:rsidR="0047112A" w:rsidRPr="00C31F3B" w14:paraId="516C0A34" w14:textId="77777777">
        <w:tc>
          <w:tcPr>
            <w:tcW w:w="1589" w:type="dxa"/>
            <w:vMerge w:val="restart"/>
            <w:vAlign w:val="center"/>
          </w:tcPr>
          <w:p w14:paraId="17F26B6D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>Enzymatic Ligation</w:t>
            </w:r>
          </w:p>
        </w:tc>
        <w:tc>
          <w:tcPr>
            <w:tcW w:w="1657" w:type="dxa"/>
            <w:vAlign w:val="center"/>
          </w:tcPr>
          <w:p w14:paraId="4A0FF928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>T4 DNA Ligase</w:t>
            </w:r>
          </w:p>
        </w:tc>
        <w:tc>
          <w:tcPr>
            <w:tcW w:w="2973" w:type="dxa"/>
            <w:vAlign w:val="center"/>
          </w:tcPr>
          <w:p w14:paraId="61D65516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- High accuracy in joining DNA or RNA with sticky or blunt ends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- Widely used, well-studied enzyme system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>- ATP-dependent reactions</w:t>
            </w:r>
          </w:p>
        </w:tc>
        <w:tc>
          <w:tcPr>
            <w:tcW w:w="2797" w:type="dxa"/>
            <w:vAlign w:val="center"/>
          </w:tcPr>
          <w:p w14:paraId="768B19DC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- Inefficient with RNA ligation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- Reduced effectiveness in the presence of complex secondary RNA structures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>- Prone to side reactions (e.g., intermolecular end joining)</w:t>
            </w:r>
          </w:p>
        </w:tc>
      </w:tr>
      <w:tr w:rsidR="0047112A" w:rsidRPr="00C31F3B" w14:paraId="1C336A48" w14:textId="77777777">
        <w:tc>
          <w:tcPr>
            <w:tcW w:w="1589" w:type="dxa"/>
            <w:vMerge/>
            <w:vAlign w:val="center"/>
          </w:tcPr>
          <w:p w14:paraId="38D03B57" w14:textId="77777777" w:rsidR="0047112A" w:rsidRPr="00C31F3B" w:rsidRDefault="0047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27815944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>T4 RNA Ligase 1</w:t>
            </w:r>
          </w:p>
        </w:tc>
        <w:tc>
          <w:tcPr>
            <w:tcW w:w="2973" w:type="dxa"/>
            <w:vAlign w:val="center"/>
          </w:tcPr>
          <w:p w14:paraId="284A4552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- Efficient for short RNA sequences (e.g., 6-8 nucleotides)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>- Can ligate both 5’ and 3’ termini of RNA molecules</w:t>
            </w:r>
          </w:p>
        </w:tc>
        <w:tc>
          <w:tcPr>
            <w:tcW w:w="2797" w:type="dxa"/>
            <w:vAlign w:val="center"/>
          </w:tcPr>
          <w:p w14:paraId="4452166F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- Inefficient for large RNA molecules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- Sensitive to secondary structures in RNA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>- Higher risk of intermolecular end joining and circularization</w:t>
            </w:r>
          </w:p>
        </w:tc>
      </w:tr>
      <w:tr w:rsidR="0047112A" w:rsidRPr="00C31F3B" w14:paraId="72DDE79C" w14:textId="77777777">
        <w:tc>
          <w:tcPr>
            <w:tcW w:w="1589" w:type="dxa"/>
            <w:vMerge/>
            <w:vAlign w:val="center"/>
          </w:tcPr>
          <w:p w14:paraId="7B810A58" w14:textId="77777777" w:rsidR="0047112A" w:rsidRPr="00C31F3B" w:rsidRDefault="0047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2076C908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>T4 RNA Ligase 2</w:t>
            </w:r>
          </w:p>
        </w:tc>
        <w:tc>
          <w:tcPr>
            <w:tcW w:w="2973" w:type="dxa"/>
            <w:vAlign w:val="center"/>
          </w:tcPr>
          <w:p w14:paraId="080B0383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- Optimized for single-stranded RNA ligation with secondary structures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>- Greater efficiency than T4 RNA Ligase 1 for circular RNA formation</w:t>
            </w:r>
          </w:p>
        </w:tc>
        <w:tc>
          <w:tcPr>
            <w:tcW w:w="2797" w:type="dxa"/>
            <w:vAlign w:val="center"/>
          </w:tcPr>
          <w:p w14:paraId="299276A2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- Lower efficiency for large RNA substrates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- Susceptible to secondary structure interference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>- Intermolecular side reactions are common</w:t>
            </w:r>
          </w:p>
        </w:tc>
      </w:tr>
      <w:tr w:rsidR="0047112A" w:rsidRPr="00C31F3B" w14:paraId="34C8DC17" w14:textId="77777777">
        <w:tc>
          <w:tcPr>
            <w:tcW w:w="1589" w:type="dxa"/>
            <w:vMerge/>
            <w:vAlign w:val="center"/>
          </w:tcPr>
          <w:p w14:paraId="460B45CE" w14:textId="77777777" w:rsidR="0047112A" w:rsidRPr="00C31F3B" w:rsidRDefault="0047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3981CCAC" w14:textId="77777777" w:rsidR="0047112A" w:rsidRPr="00C31F3B" w:rsidRDefault="0000000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>DNA Ligase IV</w:t>
            </w:r>
          </w:p>
        </w:tc>
        <w:tc>
          <w:tcPr>
            <w:tcW w:w="2973" w:type="dxa"/>
            <w:vAlign w:val="center"/>
          </w:tcPr>
          <w:p w14:paraId="4395BE59" w14:textId="77777777" w:rsidR="0047112A" w:rsidRPr="00C31F3B" w:rsidRDefault="0000000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- High fidelity ligation for circular RNA vaccine constructs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- </w:t>
            </w:r>
            <w:r w:rsidRPr="00C31F3B">
              <w:rPr>
                <w:rFonts w:asciiTheme="majorBidi" w:hAnsiTheme="majorBidi" w:cstheme="majorBidi"/>
                <w:i/>
                <w:sz w:val="24"/>
                <w:szCs w:val="24"/>
              </w:rPr>
              <w:t>In vivo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r w:rsidRPr="00C31F3B">
              <w:rPr>
                <w:rFonts w:asciiTheme="majorBidi" w:hAnsiTheme="majorBidi" w:cstheme="majorBidi"/>
                <w:i/>
                <w:sz w:val="24"/>
                <w:szCs w:val="24"/>
              </w:rPr>
              <w:t>ex vivo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 applications possible</w:t>
            </w:r>
          </w:p>
        </w:tc>
        <w:tc>
          <w:tcPr>
            <w:tcW w:w="2797" w:type="dxa"/>
            <w:vAlign w:val="center"/>
          </w:tcPr>
          <w:p w14:paraId="62B42A55" w14:textId="77777777" w:rsidR="0047112A" w:rsidRPr="00C31F3B" w:rsidRDefault="0000000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- Limited by secondary structure interference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- Requires ATP and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specific reaction conditions for high efficiency</w:t>
            </w:r>
          </w:p>
        </w:tc>
      </w:tr>
      <w:tr w:rsidR="0047112A" w:rsidRPr="00C31F3B" w14:paraId="797D7A23" w14:textId="77777777">
        <w:tc>
          <w:tcPr>
            <w:tcW w:w="1589" w:type="dxa"/>
            <w:vMerge w:val="restart"/>
            <w:vAlign w:val="center"/>
          </w:tcPr>
          <w:p w14:paraId="18B036B3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Ribozyme-Based Ligation</w:t>
            </w:r>
          </w:p>
        </w:tc>
        <w:tc>
          <w:tcPr>
            <w:tcW w:w="1657" w:type="dxa"/>
            <w:vAlign w:val="center"/>
          </w:tcPr>
          <w:p w14:paraId="3B2F2A6C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>Group I Intron Self-Splicing System</w:t>
            </w:r>
          </w:p>
        </w:tc>
        <w:tc>
          <w:tcPr>
            <w:tcW w:w="2973" w:type="dxa"/>
            <w:vAlign w:val="center"/>
          </w:tcPr>
          <w:p w14:paraId="1B7B5052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- Simple conditions for ligation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- Effective for RNA cyclization both </w:t>
            </w:r>
            <w:r w:rsidRPr="00C31F3B">
              <w:rPr>
                <w:rFonts w:asciiTheme="majorBidi" w:hAnsiTheme="majorBidi" w:cstheme="majorBidi"/>
                <w:i/>
                <w:sz w:val="24"/>
                <w:szCs w:val="24"/>
              </w:rPr>
              <w:t>in vitro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r w:rsidRPr="00C31F3B">
              <w:rPr>
                <w:rFonts w:asciiTheme="majorBidi" w:hAnsiTheme="majorBidi" w:cstheme="majorBidi"/>
                <w:i/>
                <w:sz w:val="24"/>
                <w:szCs w:val="24"/>
              </w:rPr>
              <w:t>in vivo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>- Suitable for creating large circRNAs</w:t>
            </w:r>
          </w:p>
        </w:tc>
        <w:tc>
          <w:tcPr>
            <w:tcW w:w="2797" w:type="dxa"/>
            <w:vAlign w:val="center"/>
          </w:tcPr>
          <w:p w14:paraId="64C52085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- Impacted by significant RNA secondary structures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- Slower reactions compared to enzymatic methods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>- Yield may vary based on RNA sequence complexity</w:t>
            </w:r>
          </w:p>
        </w:tc>
      </w:tr>
      <w:tr w:rsidR="0047112A" w:rsidRPr="00C31F3B" w14:paraId="489A1C10" w14:textId="77777777">
        <w:tc>
          <w:tcPr>
            <w:tcW w:w="1589" w:type="dxa"/>
            <w:vMerge/>
            <w:vAlign w:val="center"/>
          </w:tcPr>
          <w:p w14:paraId="5DC3792A" w14:textId="77777777" w:rsidR="0047112A" w:rsidRPr="00C31F3B" w:rsidRDefault="0047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2F0C2231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>Group II Intron Self-Splicing System</w:t>
            </w:r>
          </w:p>
        </w:tc>
        <w:tc>
          <w:tcPr>
            <w:tcW w:w="2973" w:type="dxa"/>
            <w:vAlign w:val="center"/>
          </w:tcPr>
          <w:p w14:paraId="7F8874C8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- High precision ligation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>- Utilizes intrinsic RNA properties for circularization</w:t>
            </w:r>
          </w:p>
        </w:tc>
        <w:tc>
          <w:tcPr>
            <w:tcW w:w="2797" w:type="dxa"/>
            <w:vAlign w:val="center"/>
          </w:tcPr>
          <w:p w14:paraId="30F52BB2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- Formation of 2', 5'-phosphodiester bonds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- Limited applicability </w:t>
            </w:r>
            <w:r w:rsidRPr="00C31F3B">
              <w:rPr>
                <w:rFonts w:asciiTheme="majorBidi" w:hAnsiTheme="majorBidi" w:cstheme="majorBidi"/>
                <w:i/>
                <w:sz w:val="24"/>
                <w:szCs w:val="24"/>
              </w:rPr>
              <w:t>in vitro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 due to poorly understood mechanisms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>- Requires specific sequence motifs</w:t>
            </w:r>
          </w:p>
        </w:tc>
      </w:tr>
      <w:tr w:rsidR="0047112A" w:rsidRPr="00C31F3B" w14:paraId="63F47B38" w14:textId="77777777">
        <w:tc>
          <w:tcPr>
            <w:tcW w:w="1589" w:type="dxa"/>
            <w:vMerge/>
            <w:vAlign w:val="center"/>
          </w:tcPr>
          <w:p w14:paraId="5B3367D4" w14:textId="77777777" w:rsidR="0047112A" w:rsidRPr="00C31F3B" w:rsidRDefault="0047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5E231DEF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>Hairpin Ribozyme</w:t>
            </w:r>
          </w:p>
        </w:tc>
        <w:tc>
          <w:tcPr>
            <w:tcW w:w="2973" w:type="dxa"/>
            <w:vAlign w:val="center"/>
          </w:tcPr>
          <w:p w14:paraId="04404593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- High ligation efficiency for small circRNAs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>- Simple reaction mechanism without ATP or additional cofactors</w:t>
            </w:r>
          </w:p>
        </w:tc>
        <w:tc>
          <w:tcPr>
            <w:tcW w:w="2797" w:type="dxa"/>
            <w:vAlign w:val="center"/>
          </w:tcPr>
          <w:p w14:paraId="30B9D386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- Instability of circularized product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- Exogenous hairpin ribozyme sequences are required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>- Limited applicability for large or complex RNAs</w:t>
            </w:r>
          </w:p>
        </w:tc>
      </w:tr>
      <w:tr w:rsidR="0047112A" w:rsidRPr="00C31F3B" w14:paraId="25C850FA" w14:textId="77777777">
        <w:tc>
          <w:tcPr>
            <w:tcW w:w="1589" w:type="dxa"/>
            <w:vAlign w:val="center"/>
          </w:tcPr>
          <w:p w14:paraId="3527EE62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>Autocatalytic Ligation</w:t>
            </w:r>
          </w:p>
        </w:tc>
        <w:tc>
          <w:tcPr>
            <w:tcW w:w="1657" w:type="dxa"/>
            <w:vAlign w:val="center"/>
          </w:tcPr>
          <w:p w14:paraId="57F0F3AD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>Permuted Intron-Exon (PIE) System</w:t>
            </w:r>
          </w:p>
        </w:tc>
        <w:tc>
          <w:tcPr>
            <w:tcW w:w="2973" w:type="dxa"/>
            <w:vAlign w:val="center"/>
          </w:tcPr>
          <w:p w14:paraId="51C11807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- Self-ligating RNA systems for large-scale production of circRNAs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>- Allows precise control over RNA circularization</w:t>
            </w:r>
          </w:p>
        </w:tc>
        <w:tc>
          <w:tcPr>
            <w:tcW w:w="2797" w:type="dxa"/>
            <w:vAlign w:val="center"/>
          </w:tcPr>
          <w:p w14:paraId="77C398C2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- May produce non-canonical linkages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>- Requires highly specific sequence contexts for successful ligation</w:t>
            </w:r>
          </w:p>
        </w:tc>
      </w:tr>
      <w:tr w:rsidR="0047112A" w:rsidRPr="00C31F3B" w14:paraId="2713AB9A" w14:textId="77777777">
        <w:tc>
          <w:tcPr>
            <w:tcW w:w="1589" w:type="dxa"/>
            <w:vAlign w:val="center"/>
          </w:tcPr>
          <w:p w14:paraId="10D73C19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>Click Chemistry-Based Ligation</w:t>
            </w:r>
          </w:p>
        </w:tc>
        <w:tc>
          <w:tcPr>
            <w:tcW w:w="1657" w:type="dxa"/>
            <w:vAlign w:val="center"/>
          </w:tcPr>
          <w:p w14:paraId="2C29442E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>Copper(I)-</w:t>
            </w:r>
            <w:proofErr w:type="spellStart"/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>Catalyzed</w:t>
            </w:r>
            <w:proofErr w:type="spellEnd"/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>Azide</w:t>
            </w:r>
            <w:proofErr w:type="spellEnd"/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>-Alkyne Cycloaddition (</w:t>
            </w:r>
            <w:proofErr w:type="spellStart"/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>CuAAC</w:t>
            </w:r>
            <w:proofErr w:type="spellEnd"/>
            <w:r w:rsidRPr="00C31F3B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</w:tc>
        <w:tc>
          <w:tcPr>
            <w:tcW w:w="2973" w:type="dxa"/>
            <w:vAlign w:val="center"/>
          </w:tcPr>
          <w:p w14:paraId="46295BEC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- Highly specific and bio-orthogonal reaction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>- Generates stable circRNA vaccines via covalent bond formation</w:t>
            </w:r>
          </w:p>
        </w:tc>
        <w:tc>
          <w:tcPr>
            <w:tcW w:w="2797" w:type="dxa"/>
            <w:vAlign w:val="center"/>
          </w:tcPr>
          <w:p w14:paraId="3BB843F4" w14:textId="77777777" w:rsidR="0047112A" w:rsidRPr="00C31F3B" w:rsidRDefault="00000000">
            <w:pPr>
              <w:spacing w:after="16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- Requires copper catalyst, which may introduce cytotoxicity 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- Not suitable for </w:t>
            </w:r>
            <w:r w:rsidRPr="00C31F3B">
              <w:rPr>
                <w:rFonts w:asciiTheme="majorBidi" w:hAnsiTheme="majorBidi" w:cstheme="majorBidi"/>
                <w:i/>
                <w:sz w:val="24"/>
                <w:szCs w:val="24"/>
              </w:rPr>
              <w:t>in vivo</w:t>
            </w:r>
            <w:r w:rsidRPr="00C31F3B">
              <w:rPr>
                <w:rFonts w:asciiTheme="majorBidi" w:hAnsiTheme="majorBidi" w:cstheme="majorBidi"/>
                <w:sz w:val="24"/>
                <w:szCs w:val="24"/>
              </w:rPr>
              <w:t xml:space="preserve"> systems without further optimization</w:t>
            </w:r>
          </w:p>
        </w:tc>
      </w:tr>
    </w:tbl>
    <w:p w14:paraId="38AB031F" w14:textId="77777777" w:rsidR="0047112A" w:rsidRPr="00C31F3B" w:rsidRDefault="0047112A">
      <w:pPr>
        <w:rPr>
          <w:rFonts w:asciiTheme="majorBidi" w:hAnsiTheme="majorBidi" w:cstheme="majorBidi"/>
        </w:rPr>
      </w:pPr>
    </w:p>
    <w:p w14:paraId="13A37D61" w14:textId="77777777" w:rsidR="0047112A" w:rsidRPr="00C31F3B" w:rsidRDefault="0047112A">
      <w:pPr>
        <w:rPr>
          <w:rFonts w:asciiTheme="majorBidi" w:hAnsiTheme="majorBidi" w:cstheme="majorBidi"/>
        </w:rPr>
      </w:pPr>
    </w:p>
    <w:p w14:paraId="020D9FCC" w14:textId="77777777" w:rsidR="0047112A" w:rsidRPr="00C31F3B" w:rsidRDefault="0047112A">
      <w:pPr>
        <w:rPr>
          <w:rFonts w:asciiTheme="majorBidi" w:hAnsiTheme="majorBidi" w:cstheme="majorBidi"/>
        </w:rPr>
      </w:pPr>
    </w:p>
    <w:p w14:paraId="5FB8195E" w14:textId="77777777" w:rsidR="0047112A" w:rsidRPr="00C31F3B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center" w:pos="4513"/>
        </w:tabs>
        <w:spacing w:after="200" w:line="240" w:lineRule="auto"/>
        <w:jc w:val="center"/>
        <w:rPr>
          <w:rFonts w:asciiTheme="majorBidi" w:hAnsiTheme="majorBidi" w:cstheme="majorBidi"/>
          <w:i/>
          <w:color w:val="44546A"/>
          <w:sz w:val="20"/>
          <w:szCs w:val="20"/>
        </w:rPr>
      </w:pPr>
      <w:r w:rsidRPr="00C31F3B">
        <w:rPr>
          <w:rFonts w:asciiTheme="majorBidi" w:hAnsiTheme="majorBidi" w:cstheme="majorBidi"/>
          <w:b/>
          <w:i/>
          <w:color w:val="44546A"/>
          <w:sz w:val="20"/>
          <w:szCs w:val="20"/>
        </w:rPr>
        <w:lastRenderedPageBreak/>
        <w:t>Table 2</w:t>
      </w:r>
      <w:r w:rsidRPr="00C31F3B">
        <w:rPr>
          <w:rFonts w:asciiTheme="majorBidi" w:hAnsiTheme="majorBidi" w:cstheme="majorBidi"/>
          <w:i/>
          <w:color w:val="44546A"/>
          <w:sz w:val="20"/>
          <w:szCs w:val="20"/>
        </w:rPr>
        <w:t xml:space="preserve"> Diverse types of circRNAs, their functions, design, delivery and examples</w:t>
      </w:r>
    </w:p>
    <w:tbl>
      <w:tblPr>
        <w:tblStyle w:val="a0"/>
        <w:tblW w:w="9016" w:type="dxa"/>
        <w:tblBorders>
          <w:top w:val="single" w:sz="4" w:space="0" w:color="666666"/>
          <w:left w:val="single" w:sz="4" w:space="0" w:color="000000"/>
          <w:bottom w:val="single" w:sz="4" w:space="0" w:color="666666"/>
          <w:right w:val="single" w:sz="4" w:space="0" w:color="000000"/>
          <w:insideH w:val="single" w:sz="4" w:space="0" w:color="666666"/>
          <w:insideV w:val="single" w:sz="4" w:space="0" w:color="666666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2054"/>
        <w:gridCol w:w="2128"/>
        <w:gridCol w:w="3349"/>
      </w:tblGrid>
      <w:tr w:rsidR="0047112A" w:rsidRPr="00C31F3B" w14:paraId="5AFCC950" w14:textId="77777777">
        <w:tc>
          <w:tcPr>
            <w:tcW w:w="1485" w:type="dxa"/>
            <w:vAlign w:val="center"/>
          </w:tcPr>
          <w:p w14:paraId="34B21733" w14:textId="77777777" w:rsidR="0047112A" w:rsidRPr="00C31F3B" w:rsidRDefault="00000000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C31F3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TYPES OF CIRCRNAS</w:t>
            </w:r>
          </w:p>
        </w:tc>
        <w:tc>
          <w:tcPr>
            <w:tcW w:w="2054" w:type="dxa"/>
            <w:vAlign w:val="center"/>
          </w:tcPr>
          <w:p w14:paraId="2F30C729" w14:textId="77777777" w:rsidR="0047112A" w:rsidRPr="00C31F3B" w:rsidRDefault="00000000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C31F3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FUNCTIONS</w:t>
            </w:r>
          </w:p>
        </w:tc>
        <w:tc>
          <w:tcPr>
            <w:tcW w:w="2128" w:type="dxa"/>
            <w:vAlign w:val="center"/>
          </w:tcPr>
          <w:p w14:paraId="7D553C3E" w14:textId="77777777" w:rsidR="0047112A" w:rsidRPr="00C31F3B" w:rsidRDefault="00000000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C31F3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EXAMPLES</w:t>
            </w:r>
          </w:p>
        </w:tc>
        <w:tc>
          <w:tcPr>
            <w:tcW w:w="3349" w:type="dxa"/>
            <w:vAlign w:val="center"/>
          </w:tcPr>
          <w:p w14:paraId="49F51A3F" w14:textId="77777777" w:rsidR="0047112A" w:rsidRPr="00C31F3B" w:rsidRDefault="00000000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C31F3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DESIGN AND DELIVERY TECHNIQUES</w:t>
            </w:r>
          </w:p>
        </w:tc>
      </w:tr>
      <w:tr w:rsidR="0047112A" w:rsidRPr="00C31F3B" w14:paraId="2678F3A3" w14:textId="77777777">
        <w:tc>
          <w:tcPr>
            <w:tcW w:w="1485" w:type="dxa"/>
            <w:vAlign w:val="center"/>
          </w:tcPr>
          <w:p w14:paraId="2EC3E784" w14:textId="0B4EB241" w:rsidR="0047112A" w:rsidRPr="00C31F3B" w:rsidRDefault="00000000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C31F3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Exon-derived circRNAs or </w:t>
            </w:r>
            <w:proofErr w:type="spellStart"/>
            <w:r w:rsidRPr="00C31F3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exonic</w:t>
            </w:r>
            <w:proofErr w:type="spellEnd"/>
            <w:r w:rsidRPr="00C31F3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circRNAs </w:t>
            </w:r>
          </w:p>
        </w:tc>
        <w:tc>
          <w:tcPr>
            <w:tcW w:w="2054" w:type="dxa"/>
            <w:vAlign w:val="center"/>
          </w:tcPr>
          <w:p w14:paraId="2C958A8C" w14:textId="77777777" w:rsidR="0047112A" w:rsidRPr="00C31F3B" w:rsidRDefault="00000000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Exonic</w:t>
            </w:r>
            <w:proofErr w:type="spellEnd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circRNAs serve as disease biomarkers for diseases such as cancer, owing to their differential expression profiles. </w:t>
            </w:r>
            <w:proofErr w:type="spellStart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Exonic</w:t>
            </w:r>
            <w:proofErr w:type="spellEnd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circRNAs are commonly associated with post-transcriptional proteins. They can integrate and form RNA-protein complexes to regulate gene expression in </w:t>
            </w:r>
            <w:proofErr w:type="spellStart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tumor</w:t>
            </w:r>
            <w:proofErr w:type="spellEnd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cells.</w:t>
            </w:r>
          </w:p>
        </w:tc>
        <w:tc>
          <w:tcPr>
            <w:tcW w:w="2128" w:type="dxa"/>
            <w:vAlign w:val="center"/>
          </w:tcPr>
          <w:p w14:paraId="7FF0DD4B" w14:textId="77777777" w:rsidR="0047112A" w:rsidRPr="00C31F3B" w:rsidRDefault="00000000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circRNA ciRS-7 is an example of an </w:t>
            </w:r>
            <w:proofErr w:type="spellStart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exonic</w:t>
            </w:r>
            <w:proofErr w:type="spellEnd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circRNA that interacts with miR-7. Its dysregulation is associated with </w:t>
            </w:r>
            <w:proofErr w:type="spellStart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tumor</w:t>
            </w:r>
            <w:proofErr w:type="spellEnd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growth and cancers such as hepatocellular carcinoma and gastric cancer </w:t>
            </w:r>
            <w:hyperlink r:id="rId5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(Chen </w:t>
              </w:r>
            </w:hyperlink>
            <w:hyperlink r:id="rId6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>et al.,</w:t>
              </w:r>
            </w:hyperlink>
            <w:hyperlink r:id="rId7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2015; Ma </w:t>
              </w:r>
            </w:hyperlink>
            <w:hyperlink r:id="rId8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>et al.,</w:t>
              </w:r>
            </w:hyperlink>
            <w:hyperlink r:id="rId9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2021; Ragan </w:t>
              </w:r>
            </w:hyperlink>
            <w:hyperlink r:id="rId10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>et al.,</w:t>
              </w:r>
            </w:hyperlink>
            <w:hyperlink r:id="rId11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2019; </w:t>
              </w:r>
              <w:proofErr w:type="spellStart"/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>Verduci</w:t>
              </w:r>
              <w:proofErr w:type="spellEnd"/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12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>et al.,</w:t>
              </w:r>
            </w:hyperlink>
            <w:hyperlink r:id="rId13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2021)</w:t>
              </w:r>
            </w:hyperlink>
          </w:p>
          <w:p w14:paraId="56668E8A" w14:textId="77777777" w:rsidR="0047112A" w:rsidRPr="00C31F3B" w:rsidRDefault="0047112A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37772D8F" w14:textId="77777777" w:rsidR="0047112A" w:rsidRPr="00C31F3B" w:rsidRDefault="0047112A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721B903A" w14:textId="77777777" w:rsidR="0047112A" w:rsidRPr="00C31F3B" w:rsidRDefault="00000000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The</w:t>
            </w:r>
            <w:r w:rsidRPr="00C31F3B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 xml:space="preserve"> in vitro </w:t>
            </w:r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design and synthesis of </w:t>
            </w:r>
            <w:proofErr w:type="spellStart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exonic</w:t>
            </w:r>
            <w:proofErr w:type="spellEnd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circRNAs can be derived from strategies such as permuted intron-exon (PIE) system and repetitive or non-repetitive intronic complementary sequences (ICS). The </w:t>
            </w:r>
            <w:r w:rsidRPr="00C31F3B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in vivo</w:t>
            </w:r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design applications of </w:t>
            </w:r>
            <w:proofErr w:type="spellStart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exonic</w:t>
            </w:r>
            <w:proofErr w:type="spellEnd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circRNAs are observed with an inclined preference for a linearly transcribed exon as a back-splice acceptor. The design and synthesis of </w:t>
            </w:r>
            <w:proofErr w:type="spellStart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exonic</w:t>
            </w:r>
            <w:proofErr w:type="spellEnd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circRNAs initiate their delivery within the host organism’s cells. </w:t>
            </w:r>
            <w:proofErr w:type="spellStart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Exonic</w:t>
            </w:r>
            <w:proofErr w:type="spellEnd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circRNAs can be delivered efficiently through the artificial modification of nanoparticles and exosomes </w:t>
            </w:r>
            <w:hyperlink r:id="rId14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(Liu </w:t>
              </w:r>
            </w:hyperlink>
            <w:hyperlink r:id="rId15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>et al.,</w:t>
              </w:r>
            </w:hyperlink>
            <w:hyperlink r:id="rId16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2017; Loan Young </w:t>
              </w:r>
            </w:hyperlink>
            <w:hyperlink r:id="rId17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>et al.,</w:t>
              </w:r>
            </w:hyperlink>
            <w:hyperlink r:id="rId18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2023; Misir</w:t>
              </w:r>
            </w:hyperlink>
            <w:hyperlink r:id="rId19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 xml:space="preserve"> et al., </w:t>
              </w:r>
            </w:hyperlink>
            <w:hyperlink r:id="rId20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2022; Obi &amp; Chen, 2021; Petkovic &amp; Müller, 2015; Ragan </w:t>
              </w:r>
            </w:hyperlink>
            <w:hyperlink r:id="rId21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>et al.,</w:t>
              </w:r>
            </w:hyperlink>
            <w:hyperlink r:id="rId22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2019; Yu &amp; Kuo, 2019)</w:t>
              </w:r>
            </w:hyperlink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</w:tr>
      <w:tr w:rsidR="0047112A" w:rsidRPr="00C31F3B" w14:paraId="77B0AEE0" w14:textId="77777777">
        <w:trPr>
          <w:trHeight w:val="3022"/>
        </w:trPr>
        <w:tc>
          <w:tcPr>
            <w:tcW w:w="1485" w:type="dxa"/>
            <w:vAlign w:val="center"/>
          </w:tcPr>
          <w:p w14:paraId="092783B8" w14:textId="77777777" w:rsidR="0047112A" w:rsidRPr="00C31F3B" w:rsidRDefault="00000000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C31F3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lastRenderedPageBreak/>
              <w:t>Intron-derived circRNAs or circular intronic RNAs</w:t>
            </w:r>
          </w:p>
        </w:tc>
        <w:tc>
          <w:tcPr>
            <w:tcW w:w="2054" w:type="dxa"/>
            <w:vAlign w:val="center"/>
          </w:tcPr>
          <w:p w14:paraId="4BF4D29B" w14:textId="77777777" w:rsidR="0047112A" w:rsidRPr="00C31F3B" w:rsidRDefault="00000000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Intron-derived circRNAs interact with RNA-binding proteins (RBP). They can serve the essential function as molecular sponges for microRNAs, influencing protein expression and cellular functions in </w:t>
            </w:r>
            <w:proofErr w:type="spellStart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tumor</w:t>
            </w:r>
            <w:proofErr w:type="spellEnd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tissues, specifically, originating from diseases such as cancer.</w:t>
            </w:r>
          </w:p>
        </w:tc>
        <w:tc>
          <w:tcPr>
            <w:tcW w:w="2128" w:type="dxa"/>
            <w:vAlign w:val="center"/>
          </w:tcPr>
          <w:p w14:paraId="0A4056F5" w14:textId="77777777" w:rsidR="0047112A" w:rsidRPr="00C31F3B" w:rsidRDefault="00000000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ci-Sirt7 is an example of an intronic circRNA regulating cellular differentiation and cellular proliferation by acting as effective miRNA sponges </w:t>
            </w:r>
            <w:hyperlink r:id="rId23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(Chen </w:t>
              </w:r>
            </w:hyperlink>
            <w:hyperlink r:id="rId24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>et al.,</w:t>
              </w:r>
            </w:hyperlink>
            <w:hyperlink r:id="rId25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2015; Chen </w:t>
              </w:r>
            </w:hyperlink>
            <w:hyperlink r:id="rId26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 xml:space="preserve">et al., </w:t>
              </w:r>
            </w:hyperlink>
            <w:hyperlink r:id="rId27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2019c; Li </w:t>
              </w:r>
            </w:hyperlink>
            <w:hyperlink r:id="rId28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 xml:space="preserve">et al., </w:t>
              </w:r>
            </w:hyperlink>
            <w:hyperlink r:id="rId29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2018; Ma </w:t>
              </w:r>
            </w:hyperlink>
            <w:hyperlink r:id="rId30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>et al.,</w:t>
              </w:r>
            </w:hyperlink>
            <w:hyperlink r:id="rId31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2021; Yu &amp; Kuo, 2019)</w:t>
              </w:r>
            </w:hyperlink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14:paraId="6154B5E4" w14:textId="77777777" w:rsidR="0047112A" w:rsidRPr="00C31F3B" w:rsidRDefault="0047112A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09D2D136" w14:textId="77777777" w:rsidR="0047112A" w:rsidRPr="00C31F3B" w:rsidRDefault="00000000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In vivo</w:t>
            </w:r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design and synthesis of intron-derived circRNAs can be achieved through Muscleblind-based (an essential muscle and neuronal splicing regulator) protein binding sites identification. Additionally, techniques for </w:t>
            </w:r>
            <w:r w:rsidRPr="00C31F3B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in vitro</w:t>
            </w:r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transcription of intron-derived circRNAs can include chemical ligation (using cyanogen bromide) and ribozyme method. Delivery methods for intron-derived circRNAs include the transfection of circRNA constructs containing group I introns and utilizing natural circularization systems </w:t>
            </w:r>
            <w:r w:rsidRPr="00C31F3B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in vivo</w:t>
            </w:r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containing Alu intronic elements </w:t>
            </w:r>
            <w:hyperlink r:id="rId32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>(Conn</w:t>
              </w:r>
            </w:hyperlink>
            <w:hyperlink r:id="rId33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 xml:space="preserve"> et al., </w:t>
              </w:r>
            </w:hyperlink>
            <w:hyperlink r:id="rId34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2015; Cui </w:t>
              </w:r>
            </w:hyperlink>
            <w:hyperlink r:id="rId35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 xml:space="preserve">et al., </w:t>
              </w:r>
            </w:hyperlink>
            <w:hyperlink r:id="rId36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2023; Feng </w:t>
              </w:r>
            </w:hyperlink>
            <w:hyperlink r:id="rId37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>et al.,</w:t>
              </w:r>
            </w:hyperlink>
            <w:hyperlink r:id="rId38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2023; Loan Young </w:t>
              </w:r>
            </w:hyperlink>
            <w:hyperlink r:id="rId39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 xml:space="preserve">et al., </w:t>
              </w:r>
            </w:hyperlink>
            <w:hyperlink r:id="rId40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>2023; Obi &amp; Chen, 2021; Petkovic &amp; Müller, 2015; Wu</w:t>
              </w:r>
            </w:hyperlink>
            <w:hyperlink r:id="rId41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 xml:space="preserve"> et al.,</w:t>
              </w:r>
            </w:hyperlink>
            <w:hyperlink r:id="rId42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2019)</w:t>
              </w:r>
            </w:hyperlink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</w:tr>
      <w:tr w:rsidR="0047112A" w:rsidRPr="00C31F3B" w14:paraId="19C91E0A" w14:textId="77777777">
        <w:tc>
          <w:tcPr>
            <w:tcW w:w="1485" w:type="dxa"/>
            <w:vAlign w:val="center"/>
          </w:tcPr>
          <w:p w14:paraId="5031B24C" w14:textId="77777777" w:rsidR="0047112A" w:rsidRPr="00C31F3B" w:rsidRDefault="00000000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C31F3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Intergenic circRNAs</w:t>
            </w:r>
          </w:p>
        </w:tc>
        <w:tc>
          <w:tcPr>
            <w:tcW w:w="2054" w:type="dxa"/>
            <w:vAlign w:val="center"/>
          </w:tcPr>
          <w:p w14:paraId="1D91EF3E" w14:textId="77777777" w:rsidR="0047112A" w:rsidRPr="00C31F3B" w:rsidRDefault="00000000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Intergenic RNAs originate from non-coding RNA loci and intergenic regions present on the precursor RNA molecule. Intergenic RNAs serve a major </w:t>
            </w:r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purpose of transcriptional regulation and chromosome signatures that identify the expression of protein-coding genes in diseased states.</w:t>
            </w:r>
          </w:p>
        </w:tc>
        <w:tc>
          <w:tcPr>
            <w:tcW w:w="2128" w:type="dxa"/>
            <w:vAlign w:val="center"/>
          </w:tcPr>
          <w:p w14:paraId="0293EB01" w14:textId="77777777" w:rsidR="0047112A" w:rsidRPr="00C31F3B" w:rsidRDefault="00000000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lincRNA-p21 constitutes a class derived from intergenic regions in the precursor RNA molecules. However, in the presence of miRNA, intergenic </w:t>
            </w:r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circRNAs tend to repress the target mRNA translation, serving as a crucial turning point in disease pathogenesis </w:t>
            </w:r>
            <w:hyperlink r:id="rId43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(Chen </w:t>
              </w:r>
            </w:hyperlink>
            <w:hyperlink r:id="rId44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>et al.,</w:t>
              </w:r>
            </w:hyperlink>
            <w:hyperlink r:id="rId45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2015; Chen</w:t>
              </w:r>
            </w:hyperlink>
            <w:hyperlink r:id="rId46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 xml:space="preserve"> et al.,</w:t>
              </w:r>
            </w:hyperlink>
            <w:hyperlink r:id="rId47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2019c; Li</w:t>
              </w:r>
            </w:hyperlink>
            <w:hyperlink r:id="rId48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 xml:space="preserve"> et al.,</w:t>
              </w:r>
            </w:hyperlink>
            <w:hyperlink r:id="rId49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2018; Ma </w:t>
              </w:r>
            </w:hyperlink>
            <w:hyperlink r:id="rId50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>et al.,</w:t>
              </w:r>
            </w:hyperlink>
            <w:hyperlink r:id="rId51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2021; Meng</w:t>
              </w:r>
            </w:hyperlink>
            <w:hyperlink r:id="rId52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 xml:space="preserve"> et al.,</w:t>
              </w:r>
            </w:hyperlink>
            <w:hyperlink r:id="rId53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2017)</w:t>
              </w:r>
            </w:hyperlink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14:paraId="7FAB31CB" w14:textId="77777777" w:rsidR="0047112A" w:rsidRPr="00C31F3B" w:rsidRDefault="0047112A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65A22DEF" w14:textId="77777777" w:rsidR="0047112A" w:rsidRPr="00C31F3B" w:rsidRDefault="00000000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lastRenderedPageBreak/>
              <w:t>In-vitro</w:t>
            </w:r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synthesis of intergenic RNAs can involve incorporating RNA-binding protein motifs in the intergenic circRNA backbone. </w:t>
            </w:r>
            <w:proofErr w:type="spellStart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Its</w:t>
            </w:r>
            <w:proofErr w:type="spellEnd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C31F3B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 xml:space="preserve">in vivo </w:t>
            </w:r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synthesis constitutes the expression of two intronic circRNA fragments (ICFs) flanked by GT-AG splicing signals. Delivery of </w:t>
            </w:r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intergenic circRNAs can be conducted through viral vectors such as lentiviruses and adenoviruses and lipid nanoparticles that can protect intergenic circRNAs against degradation </w:t>
            </w:r>
            <w:hyperlink r:id="rId54">
              <w:r w:rsidRPr="00C31F3B">
                <w:rPr>
                  <w:rFonts w:asciiTheme="majorBidi" w:hAnsiTheme="majorBidi" w:cstheme="majorBidi"/>
                </w:rPr>
                <w:t>(</w:t>
              </w:r>
            </w:hyperlink>
            <w:hyperlink r:id="rId55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Chen </w:t>
              </w:r>
            </w:hyperlink>
            <w:hyperlink r:id="rId56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>et al.,</w:t>
              </w:r>
            </w:hyperlink>
            <w:hyperlink r:id="rId57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2023; Chen &amp; Lu, 2021; Geng </w:t>
              </w:r>
            </w:hyperlink>
            <w:hyperlink r:id="rId58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 xml:space="preserve">et al., </w:t>
              </w:r>
            </w:hyperlink>
            <w:hyperlink r:id="rId59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2018; Long </w:t>
              </w:r>
            </w:hyperlink>
            <w:hyperlink r:id="rId60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>et al.,</w:t>
              </w:r>
            </w:hyperlink>
            <w:hyperlink r:id="rId61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2023; Ma </w:t>
              </w:r>
            </w:hyperlink>
            <w:hyperlink r:id="rId62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>et al.,</w:t>
              </w:r>
            </w:hyperlink>
            <w:hyperlink r:id="rId63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2021; Panzeri</w:t>
              </w:r>
            </w:hyperlink>
            <w:hyperlink r:id="rId64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 xml:space="preserve"> et al.,</w:t>
              </w:r>
            </w:hyperlink>
            <w:hyperlink r:id="rId65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2015; </w:t>
              </w:r>
              <w:proofErr w:type="spellStart"/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>Plewka</w:t>
              </w:r>
              <w:proofErr w:type="spellEnd"/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&amp; </w:t>
              </w:r>
              <w:proofErr w:type="spellStart"/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>Raczynska</w:t>
              </w:r>
              <w:proofErr w:type="spellEnd"/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>, 2022)</w:t>
              </w:r>
            </w:hyperlink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</w:tr>
      <w:tr w:rsidR="0047112A" w:rsidRPr="00C31F3B" w14:paraId="1F48BA38" w14:textId="77777777">
        <w:tc>
          <w:tcPr>
            <w:tcW w:w="1485" w:type="dxa"/>
            <w:vAlign w:val="center"/>
          </w:tcPr>
          <w:p w14:paraId="539234E8" w14:textId="77777777" w:rsidR="0047112A" w:rsidRPr="00C31F3B" w:rsidRDefault="00000000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C31F3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lastRenderedPageBreak/>
              <w:t>Exons-Introns</w:t>
            </w:r>
          </w:p>
          <w:p w14:paraId="2B0488DE" w14:textId="77777777" w:rsidR="0047112A" w:rsidRPr="00C31F3B" w:rsidRDefault="00000000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C31F3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(</w:t>
            </w:r>
            <w:proofErr w:type="spellStart"/>
            <w:r w:rsidRPr="00C31F3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EIciRNAs</w:t>
            </w:r>
            <w:proofErr w:type="spellEnd"/>
            <w:r w:rsidRPr="00C31F3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)</w:t>
            </w:r>
          </w:p>
        </w:tc>
        <w:tc>
          <w:tcPr>
            <w:tcW w:w="2054" w:type="dxa"/>
            <w:vAlign w:val="center"/>
          </w:tcPr>
          <w:p w14:paraId="6803654B" w14:textId="77777777" w:rsidR="0047112A" w:rsidRPr="00C31F3B" w:rsidRDefault="00000000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ElciRNAs</w:t>
            </w:r>
            <w:proofErr w:type="spellEnd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mitigate gene expression through scaffolds that bind to RNA polymerase II during gene transcriptional processes. They also modulate alternative splicing to identify varied protein expressions in tumorous cells.</w:t>
            </w:r>
          </w:p>
        </w:tc>
        <w:tc>
          <w:tcPr>
            <w:tcW w:w="2128" w:type="dxa"/>
            <w:vAlign w:val="center"/>
          </w:tcPr>
          <w:p w14:paraId="6551D45F" w14:textId="77777777" w:rsidR="0047112A" w:rsidRPr="00C31F3B" w:rsidRDefault="00000000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ci-Ins2 is derived from the insulin gene and regulates cellular processes in pancreatic cells </w:t>
            </w:r>
            <w:hyperlink r:id="rId66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(Li </w:t>
              </w:r>
            </w:hyperlink>
            <w:hyperlink r:id="rId67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>et al.,</w:t>
              </w:r>
            </w:hyperlink>
            <w:hyperlink r:id="rId68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2018; Ma </w:t>
              </w:r>
            </w:hyperlink>
            <w:hyperlink r:id="rId69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>et al.,</w:t>
              </w:r>
            </w:hyperlink>
            <w:hyperlink r:id="rId70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2021; </w:t>
              </w:r>
              <w:proofErr w:type="spellStart"/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>Verduci</w:t>
              </w:r>
              <w:proofErr w:type="spellEnd"/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71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 xml:space="preserve">et al., </w:t>
              </w:r>
            </w:hyperlink>
            <w:hyperlink r:id="rId72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>2021)</w:t>
              </w:r>
            </w:hyperlink>
          </w:p>
        </w:tc>
        <w:tc>
          <w:tcPr>
            <w:tcW w:w="3349" w:type="dxa"/>
            <w:vAlign w:val="center"/>
          </w:tcPr>
          <w:p w14:paraId="0F4D3075" w14:textId="77777777" w:rsidR="0047112A" w:rsidRPr="00C31F3B" w:rsidRDefault="00000000">
            <w:pPr>
              <w:widowControl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31F3B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 xml:space="preserve">In vivo </w:t>
            </w:r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synthesis of </w:t>
            </w:r>
            <w:proofErr w:type="spellStart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EIciRNAs</w:t>
            </w:r>
            <w:proofErr w:type="spellEnd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results in circRNA constructs containing introns present between alternate exons flanked by complementary gene sequences. </w:t>
            </w:r>
            <w:r w:rsidRPr="00C31F3B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 xml:space="preserve">In vitro </w:t>
            </w:r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transcription of exon-intron (</w:t>
            </w:r>
            <w:proofErr w:type="spellStart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EIciRNAs</w:t>
            </w:r>
            <w:proofErr w:type="spellEnd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) involves enzymatic ligation processes (through T4 DNA ligase) and permuted introns and exons (PIE) method. Delivery of </w:t>
            </w:r>
            <w:proofErr w:type="spellStart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EIciRNAs</w:t>
            </w:r>
            <w:proofErr w:type="spellEnd"/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can be mediated by direct transfection to facilitate adequate gene expression </w:t>
            </w:r>
            <w:hyperlink r:id="rId73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(Chen &amp; Lu, 2021; J. Liu </w:t>
              </w:r>
            </w:hyperlink>
            <w:hyperlink r:id="rId74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 xml:space="preserve">et al., </w:t>
              </w:r>
            </w:hyperlink>
            <w:hyperlink r:id="rId75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>2017; Liu</w:t>
              </w:r>
            </w:hyperlink>
            <w:hyperlink r:id="rId76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 xml:space="preserve"> et al., </w:t>
              </w:r>
            </w:hyperlink>
            <w:hyperlink r:id="rId77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 xml:space="preserve">2019b; Yu &amp; Kuo, 2019; Zhou </w:t>
              </w:r>
            </w:hyperlink>
            <w:hyperlink r:id="rId78">
              <w:r w:rsidRPr="00C31F3B">
                <w:rPr>
                  <w:rFonts w:asciiTheme="majorBidi" w:eastAsia="Times New Roman" w:hAnsiTheme="majorBidi" w:cstheme="majorBidi"/>
                  <w:i/>
                  <w:color w:val="0000FF"/>
                  <w:sz w:val="24"/>
                  <w:szCs w:val="24"/>
                  <w:u w:val="single"/>
                </w:rPr>
                <w:t xml:space="preserve">et al., </w:t>
              </w:r>
            </w:hyperlink>
            <w:hyperlink r:id="rId79">
              <w:r w:rsidRPr="00C31F3B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>2020)</w:t>
              </w:r>
            </w:hyperlink>
            <w:r w:rsidRPr="00C31F3B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</w:tr>
    </w:tbl>
    <w:p w14:paraId="441CB549" w14:textId="77777777" w:rsidR="0047112A" w:rsidRPr="00C31F3B" w:rsidRDefault="0047112A">
      <w:pPr>
        <w:rPr>
          <w:rFonts w:asciiTheme="majorBidi" w:hAnsiTheme="majorBidi" w:cstheme="majorBidi"/>
        </w:rPr>
      </w:pPr>
    </w:p>
    <w:p w14:paraId="1C637B2D" w14:textId="77777777" w:rsidR="0047112A" w:rsidRPr="00C31F3B" w:rsidRDefault="0047112A">
      <w:pPr>
        <w:rPr>
          <w:rFonts w:asciiTheme="majorBidi" w:hAnsiTheme="majorBidi" w:cstheme="majorBidi"/>
        </w:rPr>
      </w:pPr>
    </w:p>
    <w:p w14:paraId="2F793608" w14:textId="77777777" w:rsidR="0047112A" w:rsidRPr="00C31F3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C31F3B">
        <w:rPr>
          <w:rFonts w:asciiTheme="majorBidi" w:eastAsia="Times New Roman" w:hAnsiTheme="majorBidi" w:cstheme="majorBidi"/>
          <w:noProof/>
          <w:color w:val="000000"/>
          <w:sz w:val="24"/>
          <w:szCs w:val="24"/>
        </w:rPr>
        <w:lastRenderedPageBreak/>
        <w:drawing>
          <wp:inline distT="0" distB="0" distL="0" distR="0" wp14:anchorId="317672D6" wp14:editId="050E2C22">
            <wp:extent cx="5661660" cy="4038600"/>
            <wp:effectExtent l="0" t="0" r="0" b="0"/>
            <wp:docPr id="1885023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2339" name="image1.png"/>
                    <pic:cNvPicPr preferRelativeResize="0"/>
                  </pic:nvPicPr>
                  <pic:blipFill rotWithShape="1"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0" t="-487" r="-294" b="4561"/>
                    <a:stretch/>
                  </pic:blipFill>
                  <pic:spPr bwMode="auto">
                    <a:xfrm>
                      <a:off x="0" y="0"/>
                      <a:ext cx="5662604" cy="4039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1A8BB9" w14:textId="77777777" w:rsidR="0047112A" w:rsidRPr="00C31F3B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Theme="majorBidi" w:hAnsiTheme="majorBidi" w:cstheme="majorBidi"/>
          <w:i/>
          <w:color w:val="44546A"/>
          <w:sz w:val="20"/>
          <w:szCs w:val="20"/>
        </w:rPr>
      </w:pPr>
      <w:r w:rsidRPr="00C31F3B">
        <w:rPr>
          <w:rFonts w:asciiTheme="majorBidi" w:hAnsiTheme="majorBidi" w:cstheme="majorBidi"/>
          <w:b/>
          <w:i/>
          <w:color w:val="44546A"/>
          <w:sz w:val="20"/>
          <w:szCs w:val="20"/>
        </w:rPr>
        <w:t>Figure 1</w:t>
      </w:r>
      <w:r w:rsidRPr="00C31F3B">
        <w:rPr>
          <w:rFonts w:asciiTheme="majorBidi" w:hAnsiTheme="majorBidi" w:cstheme="majorBidi"/>
          <w:i/>
          <w:color w:val="44546A"/>
          <w:sz w:val="20"/>
          <w:szCs w:val="20"/>
        </w:rPr>
        <w:t xml:space="preserve"> </w:t>
      </w:r>
      <w:r w:rsidRPr="00C31F3B">
        <w:rPr>
          <w:rFonts w:asciiTheme="majorBidi" w:hAnsiTheme="majorBidi" w:cstheme="majorBidi"/>
          <w:b/>
          <w:i/>
          <w:color w:val="44546A"/>
          <w:sz w:val="20"/>
          <w:szCs w:val="20"/>
        </w:rPr>
        <w:t>A:</w:t>
      </w:r>
      <w:r w:rsidRPr="00C31F3B">
        <w:rPr>
          <w:rFonts w:asciiTheme="majorBidi" w:hAnsiTheme="majorBidi" w:cstheme="majorBidi"/>
          <w:i/>
          <w:color w:val="44546A"/>
          <w:sz w:val="20"/>
          <w:szCs w:val="20"/>
        </w:rPr>
        <w:t xml:space="preserve"> Intron pairing driven: During mRNA transcription , back-splicing may happen between the 50 region of the downstream exon as an acceptor site and the 30 region of the upstream exon  donor site. </w:t>
      </w:r>
      <w:r w:rsidRPr="00C31F3B">
        <w:rPr>
          <w:rFonts w:asciiTheme="majorBidi" w:hAnsiTheme="majorBidi" w:cstheme="majorBidi"/>
          <w:b/>
          <w:i/>
          <w:color w:val="44546A"/>
          <w:sz w:val="20"/>
          <w:szCs w:val="20"/>
        </w:rPr>
        <w:t>B:</w:t>
      </w:r>
      <w:r w:rsidRPr="00C31F3B">
        <w:rPr>
          <w:rFonts w:asciiTheme="majorBidi" w:hAnsiTheme="majorBidi" w:cstheme="majorBidi"/>
          <w:i/>
          <w:color w:val="44546A"/>
          <w:sz w:val="20"/>
          <w:szCs w:val="20"/>
        </w:rPr>
        <w:t xml:space="preserve"> RNA-binding proteins (RBPs) driven: dimerization of RBP and their binding to specific intron motifs of flanking bonds enhance circRNA generation. </w:t>
      </w:r>
      <w:r w:rsidRPr="00C31F3B">
        <w:rPr>
          <w:rFonts w:asciiTheme="majorBidi" w:hAnsiTheme="majorBidi" w:cstheme="majorBidi"/>
          <w:b/>
          <w:i/>
          <w:color w:val="44546A"/>
          <w:sz w:val="20"/>
          <w:szCs w:val="20"/>
        </w:rPr>
        <w:t>C:</w:t>
      </w:r>
      <w:r w:rsidRPr="00C31F3B">
        <w:rPr>
          <w:rFonts w:asciiTheme="majorBidi" w:hAnsiTheme="majorBidi" w:cstheme="majorBidi"/>
          <w:i/>
          <w:color w:val="44546A"/>
          <w:sz w:val="20"/>
          <w:szCs w:val="20"/>
        </w:rPr>
        <w:t xml:space="preserve"> Lariat-driven: semi folding of RNA during transcription helps exons far from each other be adjacent, shift, and glue as a unit.</w:t>
      </w:r>
    </w:p>
    <w:p w14:paraId="0D6F289A" w14:textId="77777777" w:rsidR="0047112A" w:rsidRPr="00C31F3B" w:rsidRDefault="0047112A">
      <w:pPr>
        <w:rPr>
          <w:rFonts w:asciiTheme="majorBidi" w:hAnsiTheme="majorBidi" w:cstheme="majorBidi"/>
        </w:rPr>
      </w:pPr>
    </w:p>
    <w:p w14:paraId="7C75611A" w14:textId="77777777" w:rsidR="0047112A" w:rsidRPr="00C31F3B" w:rsidRDefault="0047112A">
      <w:pPr>
        <w:rPr>
          <w:rFonts w:asciiTheme="majorBidi" w:hAnsiTheme="majorBidi" w:cstheme="majorBidi"/>
        </w:rPr>
      </w:pPr>
    </w:p>
    <w:p w14:paraId="3E1B1563" w14:textId="77777777" w:rsidR="0047112A" w:rsidRPr="00C31F3B" w:rsidRDefault="00000000">
      <w:pPr>
        <w:keepNext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31F3B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77DCB0B3" wp14:editId="55179724">
            <wp:extent cx="5608320" cy="5524500"/>
            <wp:effectExtent l="0" t="0" r="0" b="0"/>
            <wp:docPr id="1885023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2340" name="image2.png"/>
                    <pic:cNvPicPr preferRelativeResize="0"/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6" r="13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627" cy="5524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104305" w14:textId="77777777" w:rsidR="0047112A" w:rsidRPr="00C31F3B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Theme="majorBidi" w:hAnsiTheme="majorBidi" w:cstheme="majorBidi"/>
          <w:i/>
          <w:color w:val="44546A"/>
          <w:sz w:val="20"/>
          <w:szCs w:val="20"/>
        </w:rPr>
      </w:pPr>
      <w:r w:rsidRPr="00C31F3B">
        <w:rPr>
          <w:rFonts w:asciiTheme="majorBidi" w:hAnsiTheme="majorBidi" w:cstheme="majorBidi"/>
          <w:b/>
          <w:i/>
          <w:color w:val="44546A"/>
          <w:sz w:val="20"/>
          <w:szCs w:val="20"/>
        </w:rPr>
        <w:t>Figure 2</w:t>
      </w:r>
      <w:r w:rsidRPr="00C31F3B">
        <w:rPr>
          <w:rFonts w:asciiTheme="majorBidi" w:hAnsiTheme="majorBidi" w:cstheme="majorBidi"/>
          <w:i/>
          <w:color w:val="44546A"/>
          <w:sz w:val="20"/>
          <w:szCs w:val="20"/>
        </w:rPr>
        <w:t xml:space="preserve"> A diagrammatic representation of splicing events involved in the generation of diverse types of circRNAs. Intron-pairing is a process characterized by back-splicing events. RNA-binding protein (RBP)-driven circularization explores the attraction between RBPs resulting in the formation of circRNAs. Lariat-driven circularization is a process ruled by exon-skipping that facilitates the generation of circRNAs.</w:t>
      </w:r>
    </w:p>
    <w:p w14:paraId="7AE7D84D" w14:textId="77777777" w:rsidR="0047112A" w:rsidRDefault="0047112A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Theme="majorBidi" w:hAnsiTheme="majorBidi" w:cstheme="majorBidi"/>
          <w:i/>
          <w:color w:val="44546A"/>
          <w:sz w:val="20"/>
          <w:szCs w:val="20"/>
        </w:rPr>
      </w:pPr>
    </w:p>
    <w:p w14:paraId="31D41416" w14:textId="77777777" w:rsidR="00C31F3B" w:rsidRDefault="00C31F3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Theme="majorBidi" w:hAnsiTheme="majorBidi" w:cstheme="majorBidi"/>
          <w:i/>
          <w:color w:val="44546A"/>
          <w:sz w:val="20"/>
          <w:szCs w:val="20"/>
        </w:rPr>
      </w:pPr>
    </w:p>
    <w:p w14:paraId="105B666B" w14:textId="77777777" w:rsidR="00545B1F" w:rsidRDefault="00545B1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Theme="majorBidi" w:hAnsiTheme="majorBidi" w:cstheme="majorBidi"/>
          <w:i/>
          <w:color w:val="44546A"/>
          <w:sz w:val="20"/>
          <w:szCs w:val="20"/>
        </w:rPr>
      </w:pPr>
    </w:p>
    <w:p w14:paraId="26C846E3" w14:textId="77777777" w:rsidR="00545B1F" w:rsidRDefault="00545B1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Theme="majorBidi" w:hAnsiTheme="majorBidi" w:cstheme="majorBidi"/>
          <w:i/>
          <w:color w:val="44546A"/>
          <w:sz w:val="20"/>
          <w:szCs w:val="20"/>
        </w:rPr>
      </w:pPr>
    </w:p>
    <w:p w14:paraId="738DFCBA" w14:textId="77777777" w:rsidR="00545B1F" w:rsidRDefault="00545B1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Theme="majorBidi" w:hAnsiTheme="majorBidi" w:cstheme="majorBidi"/>
          <w:i/>
          <w:color w:val="44546A"/>
          <w:sz w:val="20"/>
          <w:szCs w:val="20"/>
        </w:rPr>
      </w:pPr>
    </w:p>
    <w:p w14:paraId="1C2896BB" w14:textId="77777777" w:rsidR="00545B1F" w:rsidRDefault="00545B1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Theme="majorBidi" w:hAnsiTheme="majorBidi" w:cstheme="majorBidi"/>
          <w:i/>
          <w:color w:val="44546A"/>
          <w:sz w:val="20"/>
          <w:szCs w:val="20"/>
        </w:rPr>
      </w:pPr>
    </w:p>
    <w:p w14:paraId="0249D9B0" w14:textId="77777777" w:rsidR="00545B1F" w:rsidRDefault="00545B1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Theme="majorBidi" w:hAnsiTheme="majorBidi" w:cstheme="majorBidi"/>
          <w:i/>
          <w:color w:val="44546A"/>
          <w:sz w:val="20"/>
          <w:szCs w:val="20"/>
        </w:rPr>
      </w:pPr>
    </w:p>
    <w:p w14:paraId="7FBB0060" w14:textId="77777777" w:rsidR="00545B1F" w:rsidRDefault="00545B1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Theme="majorBidi" w:hAnsiTheme="majorBidi" w:cstheme="majorBidi"/>
          <w:i/>
          <w:color w:val="44546A"/>
          <w:sz w:val="20"/>
          <w:szCs w:val="20"/>
        </w:rPr>
      </w:pPr>
    </w:p>
    <w:p w14:paraId="5A9C69A3" w14:textId="77777777" w:rsidR="00545B1F" w:rsidRDefault="00545B1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Theme="majorBidi" w:hAnsiTheme="majorBidi" w:cstheme="majorBidi"/>
          <w:i/>
          <w:color w:val="44546A"/>
          <w:sz w:val="20"/>
          <w:szCs w:val="20"/>
        </w:rPr>
      </w:pPr>
    </w:p>
    <w:p w14:paraId="73F5405E" w14:textId="1A33FAC5" w:rsidR="00C31F3B" w:rsidRPr="00C31F3B" w:rsidRDefault="00C31F3B" w:rsidP="00E60A5D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C31F3B">
        <w:rPr>
          <w:rFonts w:asciiTheme="majorBidi" w:hAnsiTheme="majorBidi" w:cstheme="majorBidi"/>
          <w:b/>
          <w:bCs/>
          <w:iCs/>
          <w:sz w:val="28"/>
          <w:szCs w:val="28"/>
        </w:rPr>
        <w:lastRenderedPageBreak/>
        <w:t>REFERENCES</w:t>
      </w:r>
      <w:r w:rsidR="00084AB1">
        <w:rPr>
          <w:rFonts w:asciiTheme="majorBidi" w:hAnsiTheme="majorBidi" w:cstheme="majorBidi"/>
          <w:b/>
          <w:bCs/>
          <w:iCs/>
          <w:sz w:val="28"/>
          <w:szCs w:val="28"/>
        </w:rPr>
        <w:t>:</w:t>
      </w:r>
    </w:p>
    <w:p w14:paraId="1C01D62F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</w:rPr>
      </w:pPr>
      <w:hyperlink r:id="rId82">
        <w:r w:rsidRPr="00C31F3B">
          <w:rPr>
            <w:rFonts w:asciiTheme="majorBidi" w:hAnsiTheme="majorBidi" w:cstheme="majorBidi"/>
            <w:sz w:val="24"/>
            <w:szCs w:val="24"/>
          </w:rPr>
          <w:t xml:space="preserve">Chen, K.-L., Li, L., Li, C.-M., Wang, Y.-R., Yang, F.-X., Kuang, M.-Q., &amp; Wang, G.-L. (2019c). SIRT7 Regulates Lipopolysaccharide-Induced Inflammatory Injury by Suppressing the NF-κB Signaling Pathway. Oxidative Medicine and Cellular Longevity, 2019, 3187972. </w:t>
        </w:r>
      </w:hyperlink>
      <w:hyperlink r:id="rId83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</w:rPr>
          <w:t>https://doi.org/10.1155/2019/3187972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</w:t>
      </w:r>
    </w:p>
    <w:p w14:paraId="0D827D01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</w:rPr>
      </w:pPr>
      <w:r w:rsidRPr="00C31F3B">
        <w:rPr>
          <w:rFonts w:asciiTheme="majorBidi" w:hAnsiTheme="majorBidi" w:cstheme="majorBidi"/>
          <w:sz w:val="24"/>
          <w:szCs w:val="24"/>
        </w:rPr>
        <w:t xml:space="preserve">Chen, L.-L., &amp; Yang, L. (2015). Regulation of circRNA biogenesis. RNA Biology, 12(4), 381–388. </w:t>
      </w:r>
      <w:hyperlink r:id="rId84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</w:rPr>
          <w:t>https://doi.org/10.1080/15476286.2015.1020271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 </w:t>
      </w:r>
    </w:p>
    <w:p w14:paraId="0B15EBEE" w14:textId="77777777" w:rsidR="00C31F3B" w:rsidRPr="00C31F3B" w:rsidRDefault="00C31F3B" w:rsidP="00A64EA2">
      <w:p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 w:rsidRPr="00C31F3B">
        <w:rPr>
          <w:rFonts w:asciiTheme="majorBidi" w:hAnsiTheme="majorBidi" w:cstheme="majorBidi"/>
          <w:sz w:val="24"/>
          <w:szCs w:val="24"/>
        </w:rPr>
        <w:t xml:space="preserve">Chen, R., Wang, S. K., Belk, J. A., Amaya, L., Li, Z., Cardenas, A., Abe, B. T., Chen, C.-K., Wender, P. A., &amp; Chang, H. Y. (2023). Engineering circular RNA for enhanced protein production. Nature Biotechnology, 41(2), 262–272. </w:t>
      </w:r>
      <w:hyperlink r:id="rId85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</w:rPr>
          <w:t>https://doi.org/10.1038/s41587-022-01393-0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</w:t>
      </w:r>
    </w:p>
    <w:p w14:paraId="6308B392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</w:rPr>
      </w:pPr>
      <w:r w:rsidRPr="00C31F3B">
        <w:rPr>
          <w:rFonts w:asciiTheme="majorBidi" w:hAnsiTheme="majorBidi" w:cstheme="majorBidi"/>
          <w:sz w:val="24"/>
          <w:szCs w:val="24"/>
        </w:rPr>
        <w:t xml:space="preserve">Chen, X., &amp; Lu, Y. (2021a). Circular RNA: Biosynthesis in vitro. Frontiers in Bioengineering and Biotechnology, 9. </w:t>
      </w:r>
      <w:hyperlink r:id="rId86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</w:rPr>
          <w:t>https://doi.org/10.3389/fbioe.2021.787881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</w:t>
      </w:r>
    </w:p>
    <w:p w14:paraId="5FDDC506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</w:rPr>
      </w:pPr>
      <w:r w:rsidRPr="00C31F3B">
        <w:rPr>
          <w:rFonts w:asciiTheme="majorBidi" w:hAnsiTheme="majorBidi" w:cstheme="majorBidi"/>
          <w:sz w:val="24"/>
          <w:szCs w:val="24"/>
        </w:rPr>
        <w:t xml:space="preserve">Conn, S. J., Pillman, K. A., Toubia, J., Conn, V. M., </w:t>
      </w:r>
      <w:proofErr w:type="spellStart"/>
      <w:r w:rsidRPr="00C31F3B">
        <w:rPr>
          <w:rFonts w:asciiTheme="majorBidi" w:hAnsiTheme="majorBidi" w:cstheme="majorBidi"/>
          <w:sz w:val="24"/>
          <w:szCs w:val="24"/>
        </w:rPr>
        <w:t>Salmanidis</w:t>
      </w:r>
      <w:proofErr w:type="spellEnd"/>
      <w:r w:rsidRPr="00C31F3B">
        <w:rPr>
          <w:rFonts w:asciiTheme="majorBidi" w:hAnsiTheme="majorBidi" w:cstheme="majorBidi"/>
          <w:sz w:val="24"/>
          <w:szCs w:val="24"/>
        </w:rPr>
        <w:t xml:space="preserve">, M., Phillips, C. A., Roslan, S., Schreiber, A. W., Gregory, P. A., &amp; Goodall, G. J. (2015). The RNA Binding Protein Quaking Regulates Formation of circRNAs. Cell, 160(6), 1125–1134. </w:t>
      </w:r>
      <w:hyperlink r:id="rId87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</w:rPr>
          <w:t>https://doi.org/10.1016/j.cell.2015.02.014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 </w:t>
      </w:r>
    </w:p>
    <w:p w14:paraId="59DC60FA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</w:rPr>
      </w:pPr>
      <w:hyperlink r:id="rId88">
        <w:r w:rsidRPr="00C31F3B">
          <w:rPr>
            <w:rFonts w:asciiTheme="majorBidi" w:hAnsiTheme="majorBidi" w:cstheme="majorBidi"/>
            <w:sz w:val="24"/>
            <w:szCs w:val="24"/>
          </w:rPr>
          <w:t xml:space="preserve">Cui, J., Zhang, L., Zhang, Z., Luo, X., Liu, Y., Li, C., Huang, W., Zou, L., Yu, X., &amp; Xiao, F. (2023). A precise and efficient circular RNA synthesis system based on a ribozyme derived from Tetrahymena thermophila. Nucleic Acids Research, 51(14), e78. </w:t>
        </w:r>
      </w:hyperlink>
      <w:hyperlink r:id="rId89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</w:rPr>
          <w:t>https://doi.org/10.1093/nar/gkad554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</w:t>
      </w:r>
    </w:p>
    <w:p w14:paraId="768142F0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</w:rPr>
      </w:pPr>
      <w:r w:rsidRPr="00C31F3B">
        <w:rPr>
          <w:rFonts w:asciiTheme="majorBidi" w:hAnsiTheme="majorBidi" w:cstheme="majorBidi"/>
          <w:sz w:val="24"/>
          <w:szCs w:val="24"/>
        </w:rPr>
        <w:t xml:space="preserve">Feng, X.-Y., Zhu, S.-X., Pu, K.-J., Huang, H.-J., Chen, Y.-Q., &amp; Wang, W.-T. (2023). New insight into circRNAs: Characterization, strategies, and biomedical applications. Experimental </w:t>
      </w:r>
      <w:proofErr w:type="spellStart"/>
      <w:r w:rsidRPr="00C31F3B">
        <w:rPr>
          <w:rFonts w:asciiTheme="majorBidi" w:hAnsiTheme="majorBidi" w:cstheme="majorBidi"/>
          <w:sz w:val="24"/>
          <w:szCs w:val="24"/>
        </w:rPr>
        <w:t>Hematology</w:t>
      </w:r>
      <w:proofErr w:type="spellEnd"/>
      <w:r w:rsidRPr="00C31F3B">
        <w:rPr>
          <w:rFonts w:asciiTheme="majorBidi" w:hAnsiTheme="majorBidi" w:cstheme="majorBidi"/>
          <w:sz w:val="24"/>
          <w:szCs w:val="24"/>
        </w:rPr>
        <w:t xml:space="preserve"> &amp; Oncology, 12(1), 91. </w:t>
      </w:r>
      <w:hyperlink r:id="rId90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</w:rPr>
          <w:t>https://doi.org/10.1186/s40164-023-00451-w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</w:t>
      </w:r>
    </w:p>
    <w:p w14:paraId="57F1F582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</w:rPr>
      </w:pPr>
      <w:hyperlink r:id="rId91">
        <w:r w:rsidRPr="00C31F3B">
          <w:rPr>
            <w:rFonts w:asciiTheme="majorBidi" w:hAnsiTheme="majorBidi" w:cstheme="majorBidi"/>
            <w:sz w:val="24"/>
            <w:szCs w:val="24"/>
          </w:rPr>
          <w:t>Geng, Y., Jiang, J., &amp; Wu, C. (2018). Function and clinical significance of circRNAs in solid tumors. Journal of Hematology &amp; Oncology, 11(1), 98.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</w:t>
      </w:r>
      <w:hyperlink r:id="rId92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</w:rPr>
          <w:t>https://doi.org/10.1186/s13045-018-0643-z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</w:t>
      </w:r>
    </w:p>
    <w:p w14:paraId="78647409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  <w:lang w:val="pt-PT"/>
        </w:rPr>
      </w:pPr>
      <w:hyperlink r:id="rId93">
        <w:r w:rsidRPr="00C31F3B">
          <w:rPr>
            <w:rFonts w:asciiTheme="majorBidi" w:hAnsiTheme="majorBidi" w:cstheme="majorBidi"/>
            <w:sz w:val="24"/>
            <w:szCs w:val="24"/>
          </w:rPr>
          <w:t>Li, X., Yang, L., &amp; Chen, L.-L. (2018). The Biogenesis, Functions, and Challenges of Circular RNAs. Molecular Cell, 71(3), 428–442.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</w:t>
      </w:r>
      <w:hyperlink r:id="rId94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  <w:lang w:val="pt-PT"/>
          </w:rPr>
          <w:t>https://doi.org/10.1016/j.molcel.2018.06.034</w:t>
        </w:r>
      </w:hyperlink>
      <w:r w:rsidRPr="00C31F3B">
        <w:rPr>
          <w:rFonts w:asciiTheme="majorBidi" w:hAnsiTheme="majorBidi" w:cstheme="majorBidi"/>
          <w:sz w:val="24"/>
          <w:szCs w:val="24"/>
          <w:lang w:val="pt-PT"/>
        </w:rPr>
        <w:t xml:space="preserve"> </w:t>
      </w:r>
    </w:p>
    <w:p w14:paraId="40C4681E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</w:rPr>
      </w:pPr>
      <w:hyperlink r:id="rId95">
        <w:r w:rsidRPr="00C31F3B">
          <w:rPr>
            <w:rFonts w:asciiTheme="majorBidi" w:hAnsiTheme="majorBidi" w:cstheme="majorBidi"/>
            <w:sz w:val="24"/>
            <w:szCs w:val="24"/>
          </w:rPr>
          <w:t xml:space="preserve">Liu, J., Liu, T., Wang, X., &amp; He, A. (2017). Circles reshaping the RNA world: From waste to treasure. Molecular Cancer, 16(1), 58. </w:t>
        </w:r>
      </w:hyperlink>
      <w:hyperlink r:id="rId96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</w:rPr>
          <w:t>https://doi.org/10.1186/s12943-017-0630-y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</w:t>
      </w:r>
    </w:p>
    <w:p w14:paraId="49DB21A3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</w:rPr>
      </w:pPr>
      <w:hyperlink r:id="rId97">
        <w:proofErr w:type="spellStart"/>
        <w:r w:rsidRPr="00C31F3B">
          <w:rPr>
            <w:rFonts w:asciiTheme="majorBidi" w:hAnsiTheme="majorBidi" w:cstheme="majorBidi"/>
            <w:sz w:val="24"/>
            <w:szCs w:val="24"/>
            <w:lang w:val="pl-PL"/>
          </w:rPr>
          <w:t>Liu</w:t>
        </w:r>
        <w:proofErr w:type="spellEnd"/>
        <w:r w:rsidRPr="00C31F3B">
          <w:rPr>
            <w:rFonts w:asciiTheme="majorBidi" w:hAnsiTheme="majorBidi" w:cstheme="majorBidi"/>
            <w:sz w:val="24"/>
            <w:szCs w:val="24"/>
            <w:lang w:val="pl-PL"/>
          </w:rPr>
          <w:t xml:space="preserve">, K.-S., Pan, F., Mao, X.-D., </w:t>
        </w:r>
        <w:proofErr w:type="spellStart"/>
        <w:r w:rsidRPr="00C31F3B">
          <w:rPr>
            <w:rFonts w:asciiTheme="majorBidi" w:hAnsiTheme="majorBidi" w:cstheme="majorBidi"/>
            <w:sz w:val="24"/>
            <w:szCs w:val="24"/>
            <w:lang w:val="pl-PL"/>
          </w:rPr>
          <w:t>Liu</w:t>
        </w:r>
        <w:proofErr w:type="spellEnd"/>
        <w:r w:rsidRPr="00C31F3B">
          <w:rPr>
            <w:rFonts w:asciiTheme="majorBidi" w:hAnsiTheme="majorBidi" w:cstheme="majorBidi"/>
            <w:sz w:val="24"/>
            <w:szCs w:val="24"/>
            <w:lang w:val="pl-PL"/>
          </w:rPr>
          <w:t xml:space="preserve">, C., &amp; Chen, Y.-J. (2019b). </w:t>
        </w:r>
        <w:r w:rsidRPr="00C31F3B">
          <w:rPr>
            <w:rFonts w:asciiTheme="majorBidi" w:hAnsiTheme="majorBidi" w:cstheme="majorBidi"/>
            <w:sz w:val="24"/>
            <w:szCs w:val="24"/>
          </w:rPr>
          <w:t xml:space="preserve">Biological functions of circular RNAs and their roles in occurrence of reproduction and </w:t>
        </w:r>
        <w:proofErr w:type="spellStart"/>
        <w:r w:rsidRPr="00C31F3B">
          <w:rPr>
            <w:rFonts w:asciiTheme="majorBidi" w:hAnsiTheme="majorBidi" w:cstheme="majorBidi"/>
            <w:sz w:val="24"/>
            <w:szCs w:val="24"/>
          </w:rPr>
          <w:t>gynecological</w:t>
        </w:r>
        <w:proofErr w:type="spellEnd"/>
        <w:r w:rsidRPr="00C31F3B">
          <w:rPr>
            <w:rFonts w:asciiTheme="majorBidi" w:hAnsiTheme="majorBidi" w:cstheme="majorBidi"/>
            <w:sz w:val="24"/>
            <w:szCs w:val="24"/>
          </w:rPr>
          <w:t xml:space="preserve"> diseases. American Journal of Translational Research, 11(1), 1–15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6A642C7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</w:rPr>
      </w:pPr>
      <w:r w:rsidRPr="00C31F3B">
        <w:rPr>
          <w:rFonts w:asciiTheme="majorBidi" w:hAnsiTheme="majorBidi" w:cstheme="majorBidi"/>
          <w:sz w:val="24"/>
          <w:szCs w:val="24"/>
        </w:rPr>
        <w:t xml:space="preserve">Loan Young, T., Chang Wang, K., James Varley, A., &amp; Li, B. (2023). Clinical delivery of circular RNA: Lessons learned from RNA drug development. Advanced Drug Delivery Reviews, 197, 114826. </w:t>
      </w:r>
      <w:hyperlink r:id="rId98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</w:rPr>
          <w:t>https://doi.org/10.1016/j.addr.2023.114826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</w:t>
      </w:r>
    </w:p>
    <w:p w14:paraId="635CC0F4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</w:rPr>
      </w:pPr>
      <w:r w:rsidRPr="00C31F3B">
        <w:rPr>
          <w:rFonts w:asciiTheme="majorBidi" w:hAnsiTheme="majorBidi" w:cstheme="majorBidi"/>
          <w:sz w:val="24"/>
          <w:szCs w:val="24"/>
        </w:rPr>
        <w:t xml:space="preserve">Long, F., Li, L., Xie, C., Ma, M., Wu, Z., Lu, Z., Liu, B., Yang, M., Zhang, F., Ning, Z., Zhong, C., Yu, B., Liu, S., Wan, L., Tian, B., Yang, K., Guo, Y., Chen, M., Chou, J., … Zhang, Y. (2023). Intergenic CircRNA Circ_0007379 Inhibits Colorectal Cancer Progression by Modulating miR-320a Biogenesis in a KSRP-Dependent Manner. International Journal of Biological Sciences, 19(12), 3781–3803. </w:t>
      </w:r>
      <w:hyperlink r:id="rId99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</w:rPr>
          <w:t>https://doi.org/10.7150/ijbs.85063</w:t>
        </w:r>
      </w:hyperlink>
    </w:p>
    <w:p w14:paraId="786349CC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</w:rPr>
      </w:pPr>
      <w:hyperlink r:id="rId100">
        <w:r w:rsidRPr="00C31F3B">
          <w:rPr>
            <w:rFonts w:asciiTheme="majorBidi" w:hAnsiTheme="majorBidi" w:cstheme="majorBidi"/>
            <w:sz w:val="24"/>
            <w:szCs w:val="24"/>
          </w:rPr>
          <w:t>Ma, Y., Zheng, L., Gao, Y., Zhang, W., Zhang, Q., &amp; Xu, Y. (2021). A Comprehensive Overview of circRNAs: Emerging Biomarkers and Potential Therapeutics in Gynecological Cancers. Frontiers in Cell and Developmental Biology, 9.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</w:t>
      </w:r>
      <w:hyperlink r:id="rId101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</w:rPr>
          <w:t>https://doi.org/10.3389/fcell.2021.709512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</w:t>
      </w:r>
    </w:p>
    <w:p w14:paraId="14130C4D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</w:rPr>
      </w:pPr>
      <w:hyperlink r:id="rId102">
        <w:r w:rsidRPr="00C31F3B">
          <w:rPr>
            <w:rFonts w:asciiTheme="majorBidi" w:hAnsiTheme="majorBidi" w:cstheme="majorBidi"/>
            <w:sz w:val="24"/>
            <w:szCs w:val="24"/>
            <w:lang w:val="pt-PT"/>
          </w:rPr>
          <w:t xml:space="preserve">Meng, S., Zhou, H., Feng, Z., Xu, Z., Tang, Y., Li, P., &amp; Wu, M. (2017). </w:t>
        </w:r>
        <w:r w:rsidRPr="00C31F3B">
          <w:rPr>
            <w:rFonts w:asciiTheme="majorBidi" w:hAnsiTheme="majorBidi" w:cstheme="majorBidi"/>
            <w:sz w:val="24"/>
            <w:szCs w:val="24"/>
          </w:rPr>
          <w:t xml:space="preserve">CircRNA: Functions and properties of a novel potential biomarker for cancer. Molecular Cancer, 16(1), 94. </w:t>
        </w:r>
      </w:hyperlink>
      <w:hyperlink r:id="rId103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</w:rPr>
          <w:t>https://doi.org/10.1186/s12943-017-0663-2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</w:t>
      </w:r>
    </w:p>
    <w:p w14:paraId="39CB9CBF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</w:rPr>
      </w:pPr>
      <w:hyperlink r:id="rId104">
        <w:r w:rsidRPr="00C31F3B">
          <w:rPr>
            <w:rFonts w:asciiTheme="majorBidi" w:hAnsiTheme="majorBidi" w:cstheme="majorBidi"/>
            <w:sz w:val="24"/>
            <w:szCs w:val="24"/>
            <w:lang w:val="fr-FR"/>
          </w:rPr>
          <w:t xml:space="preserve">Misir, S., Wu, N., &amp; Yang, B. B. (2022). </w:t>
        </w:r>
        <w:r w:rsidRPr="00C31F3B">
          <w:rPr>
            <w:rFonts w:asciiTheme="majorBidi" w:hAnsiTheme="majorBidi" w:cstheme="majorBidi"/>
            <w:sz w:val="24"/>
            <w:szCs w:val="24"/>
          </w:rPr>
          <w:t xml:space="preserve">Specific expression and functions of circular RNAs. Cell Death &amp; Differentiation, 29(3), 481–491. </w:t>
        </w:r>
      </w:hyperlink>
      <w:hyperlink r:id="rId105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</w:rPr>
          <w:t>https://doi.org/10.1038/s41418-022-00948-7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</w:t>
      </w:r>
    </w:p>
    <w:p w14:paraId="53491CC2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</w:rPr>
      </w:pPr>
      <w:r w:rsidRPr="00C31F3B">
        <w:rPr>
          <w:rFonts w:asciiTheme="majorBidi" w:hAnsiTheme="majorBidi" w:cstheme="majorBidi"/>
          <w:sz w:val="24"/>
          <w:szCs w:val="24"/>
          <w:lang w:val="pl-PL"/>
        </w:rPr>
        <w:t xml:space="preserve">Obi, P., &amp; Chen, Y. G. (2021). </w:t>
      </w:r>
      <w:r w:rsidRPr="00C31F3B">
        <w:rPr>
          <w:rFonts w:asciiTheme="majorBidi" w:hAnsiTheme="majorBidi" w:cstheme="majorBidi"/>
          <w:sz w:val="24"/>
          <w:szCs w:val="24"/>
        </w:rPr>
        <w:t xml:space="preserve">The design and synthesis of circular RNAs. Methods, 196, 85–103. </w:t>
      </w:r>
      <w:hyperlink r:id="rId106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</w:rPr>
          <w:t>https://doi.org/10.1016/j.ymeth.2021.02.020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</w:t>
      </w:r>
    </w:p>
    <w:p w14:paraId="36E1225B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</w:rPr>
      </w:pPr>
      <w:r w:rsidRPr="00C31F3B">
        <w:rPr>
          <w:rFonts w:asciiTheme="majorBidi" w:hAnsiTheme="majorBidi" w:cstheme="majorBidi"/>
          <w:sz w:val="24"/>
          <w:szCs w:val="24"/>
        </w:rPr>
        <w:t xml:space="preserve">Panzeri, I., Rossetti, G., </w:t>
      </w:r>
      <w:proofErr w:type="spellStart"/>
      <w:r w:rsidRPr="00C31F3B">
        <w:rPr>
          <w:rFonts w:asciiTheme="majorBidi" w:hAnsiTheme="majorBidi" w:cstheme="majorBidi"/>
          <w:sz w:val="24"/>
          <w:szCs w:val="24"/>
        </w:rPr>
        <w:t>Abrignani</w:t>
      </w:r>
      <w:proofErr w:type="spellEnd"/>
      <w:r w:rsidRPr="00C31F3B">
        <w:rPr>
          <w:rFonts w:asciiTheme="majorBidi" w:hAnsiTheme="majorBidi" w:cstheme="majorBidi"/>
          <w:sz w:val="24"/>
          <w:szCs w:val="24"/>
        </w:rPr>
        <w:t xml:space="preserve">, S., &amp; Pagani, M. (2015). Long Intergenic Non-Coding RNAs: Novel Drivers of Human Lymphocyte Differentiation. Frontiers in Immunology, 6. </w:t>
      </w:r>
      <w:hyperlink r:id="rId107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</w:rPr>
          <w:t>https://doi.org/10.3389/fimmu.2015.00175</w:t>
        </w:r>
      </w:hyperlink>
    </w:p>
    <w:p w14:paraId="75EFDBC4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</w:rPr>
      </w:pPr>
      <w:r w:rsidRPr="00C31F3B">
        <w:rPr>
          <w:rFonts w:asciiTheme="majorBidi" w:hAnsiTheme="majorBidi" w:cstheme="majorBidi"/>
          <w:sz w:val="24"/>
          <w:szCs w:val="24"/>
        </w:rPr>
        <w:t xml:space="preserve">Petkovic, S., &amp; Müller, S. (2015). RNA circularization strategies in vivo and in vitro. Nucleic Acids Research, 43(4), 2454–2465. </w:t>
      </w:r>
      <w:hyperlink r:id="rId108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</w:rPr>
          <w:t>https://doi.org/10.1093/nar/gkv045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</w:t>
      </w:r>
    </w:p>
    <w:p w14:paraId="0DCEDED3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  <w:lang w:val="pl-PL"/>
        </w:rPr>
      </w:pPr>
      <w:r w:rsidRPr="00C31F3B">
        <w:rPr>
          <w:rFonts w:asciiTheme="majorBidi" w:hAnsiTheme="majorBidi" w:cstheme="majorBidi"/>
          <w:sz w:val="24"/>
          <w:szCs w:val="24"/>
          <w:lang w:val="pl-PL"/>
        </w:rPr>
        <w:lastRenderedPageBreak/>
        <w:t xml:space="preserve">Plewka, P., &amp; </w:t>
      </w:r>
      <w:proofErr w:type="spellStart"/>
      <w:r w:rsidRPr="00C31F3B">
        <w:rPr>
          <w:rFonts w:asciiTheme="majorBidi" w:hAnsiTheme="majorBidi" w:cstheme="majorBidi"/>
          <w:sz w:val="24"/>
          <w:szCs w:val="24"/>
          <w:lang w:val="pl-PL"/>
        </w:rPr>
        <w:t>Raczynska</w:t>
      </w:r>
      <w:proofErr w:type="spellEnd"/>
      <w:r w:rsidRPr="00C31F3B">
        <w:rPr>
          <w:rFonts w:asciiTheme="majorBidi" w:hAnsiTheme="majorBidi" w:cstheme="majorBidi"/>
          <w:sz w:val="24"/>
          <w:szCs w:val="24"/>
          <w:lang w:val="pl-PL"/>
        </w:rPr>
        <w:t xml:space="preserve">, K. D. (2022). </w:t>
      </w:r>
      <w:r w:rsidRPr="00C31F3B">
        <w:rPr>
          <w:rFonts w:asciiTheme="majorBidi" w:hAnsiTheme="majorBidi" w:cstheme="majorBidi"/>
          <w:sz w:val="24"/>
          <w:szCs w:val="24"/>
        </w:rPr>
        <w:t xml:space="preserve">Long Intergenic Noncoding RNAs Affect Biological Pathways Underlying Autoimmune and Neurodegenerative Disorders. </w:t>
      </w:r>
      <w:proofErr w:type="spellStart"/>
      <w:r w:rsidRPr="00C31F3B">
        <w:rPr>
          <w:rFonts w:asciiTheme="majorBidi" w:hAnsiTheme="majorBidi" w:cstheme="majorBidi"/>
          <w:sz w:val="24"/>
          <w:szCs w:val="24"/>
          <w:lang w:val="pl-PL"/>
        </w:rPr>
        <w:t>Molecular</w:t>
      </w:r>
      <w:proofErr w:type="spellEnd"/>
      <w:r w:rsidRPr="00C31F3B">
        <w:rPr>
          <w:rFonts w:asciiTheme="majorBidi" w:hAnsiTheme="majorBidi" w:cstheme="majorBidi"/>
          <w:sz w:val="24"/>
          <w:szCs w:val="24"/>
          <w:lang w:val="pl-PL"/>
        </w:rPr>
        <w:t xml:space="preserve"> </w:t>
      </w:r>
      <w:proofErr w:type="spellStart"/>
      <w:r w:rsidRPr="00C31F3B">
        <w:rPr>
          <w:rFonts w:asciiTheme="majorBidi" w:hAnsiTheme="majorBidi" w:cstheme="majorBidi"/>
          <w:sz w:val="24"/>
          <w:szCs w:val="24"/>
          <w:lang w:val="pl-PL"/>
        </w:rPr>
        <w:t>Neurobiology</w:t>
      </w:r>
      <w:proofErr w:type="spellEnd"/>
      <w:r w:rsidRPr="00C31F3B">
        <w:rPr>
          <w:rFonts w:asciiTheme="majorBidi" w:hAnsiTheme="majorBidi" w:cstheme="majorBidi"/>
          <w:sz w:val="24"/>
          <w:szCs w:val="24"/>
          <w:lang w:val="pl-PL"/>
        </w:rPr>
        <w:t xml:space="preserve">, 59(9), 5785–5808. </w:t>
      </w:r>
      <w:hyperlink r:id="rId109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  <w:lang w:val="pl-PL"/>
          </w:rPr>
          <w:t>https://doi.org/10.1007/s12035-022-02941-0</w:t>
        </w:r>
      </w:hyperlink>
      <w:r w:rsidRPr="00C31F3B">
        <w:rPr>
          <w:rFonts w:asciiTheme="majorBidi" w:hAnsiTheme="majorBidi" w:cstheme="majorBidi"/>
          <w:sz w:val="24"/>
          <w:szCs w:val="24"/>
          <w:lang w:val="pl-PL"/>
        </w:rPr>
        <w:t xml:space="preserve"> </w:t>
      </w:r>
    </w:p>
    <w:p w14:paraId="5446F86D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</w:rPr>
      </w:pPr>
      <w:r w:rsidRPr="00C31F3B">
        <w:rPr>
          <w:rFonts w:asciiTheme="majorBidi" w:hAnsiTheme="majorBidi" w:cstheme="majorBidi"/>
          <w:sz w:val="24"/>
          <w:szCs w:val="24"/>
        </w:rPr>
        <w:t xml:space="preserve">Ragan, C., Goodall, G. J., </w:t>
      </w:r>
      <w:proofErr w:type="spellStart"/>
      <w:r w:rsidRPr="00C31F3B">
        <w:rPr>
          <w:rFonts w:asciiTheme="majorBidi" w:hAnsiTheme="majorBidi" w:cstheme="majorBidi"/>
          <w:sz w:val="24"/>
          <w:szCs w:val="24"/>
        </w:rPr>
        <w:t>Shirokikh</w:t>
      </w:r>
      <w:proofErr w:type="spellEnd"/>
      <w:r w:rsidRPr="00C31F3B">
        <w:rPr>
          <w:rFonts w:asciiTheme="majorBidi" w:hAnsiTheme="majorBidi" w:cstheme="majorBidi"/>
          <w:sz w:val="24"/>
          <w:szCs w:val="24"/>
        </w:rPr>
        <w:t xml:space="preserve">, N. E., &amp; Preiss, T. (2019b). Insights into the biogenesis and potential functions of </w:t>
      </w:r>
      <w:proofErr w:type="spellStart"/>
      <w:r w:rsidRPr="00C31F3B">
        <w:rPr>
          <w:rFonts w:asciiTheme="majorBidi" w:hAnsiTheme="majorBidi" w:cstheme="majorBidi"/>
          <w:sz w:val="24"/>
          <w:szCs w:val="24"/>
        </w:rPr>
        <w:t>exonic</w:t>
      </w:r>
      <w:proofErr w:type="spellEnd"/>
      <w:r w:rsidRPr="00C31F3B">
        <w:rPr>
          <w:rFonts w:asciiTheme="majorBidi" w:hAnsiTheme="majorBidi" w:cstheme="majorBidi"/>
          <w:sz w:val="24"/>
          <w:szCs w:val="24"/>
        </w:rPr>
        <w:t xml:space="preserve"> circular RNA. Scientific Reports, 9(1), 2048. </w:t>
      </w:r>
      <w:hyperlink r:id="rId110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</w:rPr>
          <w:t>https://doi.org/10.1038/s41598-018-37037-0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</w:t>
      </w:r>
    </w:p>
    <w:p w14:paraId="41B55B25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</w:rPr>
      </w:pPr>
      <w:hyperlink r:id="rId111">
        <w:r w:rsidRPr="00C31F3B">
          <w:rPr>
            <w:rFonts w:asciiTheme="majorBidi" w:hAnsiTheme="majorBidi" w:cstheme="majorBidi"/>
            <w:sz w:val="24"/>
            <w:szCs w:val="24"/>
          </w:rPr>
          <w:t xml:space="preserve">Verduci, L., Tarcitano, E., Strano, S., Yarden, Y., &amp; Blandino, G. (2021). CircRNAs: Role in human diseases and potential use as biomarkers. Cell Death &amp; Disease, 12(5), 1–12. </w:t>
        </w:r>
      </w:hyperlink>
      <w:hyperlink r:id="rId112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</w:rPr>
          <w:t>https://doi.org/10.1038/s41419-021-03743-3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</w:t>
      </w:r>
    </w:p>
    <w:p w14:paraId="65766358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</w:rPr>
      </w:pPr>
      <w:r w:rsidRPr="00C31F3B">
        <w:rPr>
          <w:rFonts w:asciiTheme="majorBidi" w:hAnsiTheme="majorBidi" w:cstheme="majorBidi"/>
          <w:sz w:val="24"/>
          <w:szCs w:val="24"/>
        </w:rPr>
        <w:t xml:space="preserve">Wu, J., Qi, X., Liu, L., Hu, X., Liu, J., Yang, J., Yang, J., Lu, L., Zhang, Z., Ma, S., Li, H., Yun, X., Sun, T., Wang, Y., Wang, Z., Liu, Z., &amp; Zhao, W. (2019). Emerging Epigenetic Regulation of Circular RNAs in Human Cancer. Molecular Therapy. Nucleic Acids, 16, 589–596. </w:t>
      </w:r>
      <w:hyperlink r:id="rId113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</w:rPr>
          <w:t>https://doi.org/10.1016/j.omtn.2019.04.011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</w:t>
      </w:r>
    </w:p>
    <w:p w14:paraId="09CE1D0F" w14:textId="77777777" w:rsidR="00C31F3B" w:rsidRPr="00C31F3B" w:rsidRDefault="00C31F3B">
      <w:pPr>
        <w:spacing w:before="240" w:line="360" w:lineRule="auto"/>
        <w:ind w:hanging="720"/>
        <w:rPr>
          <w:rFonts w:asciiTheme="majorBidi" w:hAnsiTheme="majorBidi" w:cstheme="majorBidi"/>
          <w:sz w:val="24"/>
          <w:szCs w:val="24"/>
        </w:rPr>
      </w:pPr>
      <w:r w:rsidRPr="00C31F3B">
        <w:rPr>
          <w:rFonts w:asciiTheme="majorBidi" w:hAnsiTheme="majorBidi" w:cstheme="majorBidi"/>
          <w:sz w:val="24"/>
          <w:szCs w:val="24"/>
        </w:rPr>
        <w:t xml:space="preserve">Yu, C.-Y., &amp; Kuo, H.-C. (2019). The emerging roles and functions of circular RNAs and their generation. Journal of Biomedical Science, 26(1), 29. </w:t>
      </w:r>
      <w:hyperlink r:id="rId114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</w:rPr>
          <w:t>https://doi.org/10.1186/s12929-019-0523-z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</w:t>
      </w:r>
    </w:p>
    <w:p w14:paraId="433D861E" w14:textId="77777777" w:rsidR="00C31F3B" w:rsidRPr="00C31F3B" w:rsidRDefault="00C31F3B" w:rsidP="00C31F3B">
      <w:pPr>
        <w:spacing w:before="240" w:line="360" w:lineRule="auto"/>
        <w:ind w:hanging="720"/>
        <w:rPr>
          <w:rFonts w:asciiTheme="majorBidi" w:hAnsiTheme="majorBidi" w:cstheme="majorBidi"/>
        </w:rPr>
      </w:pPr>
      <w:r w:rsidRPr="00C31F3B">
        <w:rPr>
          <w:rFonts w:asciiTheme="majorBidi" w:hAnsiTheme="majorBidi" w:cstheme="majorBidi"/>
          <w:sz w:val="24"/>
          <w:szCs w:val="24"/>
          <w:lang w:val="fr-FR"/>
        </w:rPr>
        <w:t xml:space="preserve">Zhou, W.-Y., Cai, Z.-R., Liu, J., Wang, D.-S., Ju, H.-Q., &amp; Xu, R.-H. (2020). </w:t>
      </w:r>
      <w:r w:rsidRPr="00C31F3B">
        <w:rPr>
          <w:rFonts w:asciiTheme="majorBidi" w:hAnsiTheme="majorBidi" w:cstheme="majorBidi"/>
          <w:sz w:val="24"/>
          <w:szCs w:val="24"/>
        </w:rPr>
        <w:t xml:space="preserve">Circular RNA: Metabolism, functions and interactions with proteins. Molecular Cancer, 19(1), 172. </w:t>
      </w:r>
      <w:hyperlink r:id="rId115">
        <w:r w:rsidRPr="00C31F3B">
          <w:rPr>
            <w:rFonts w:asciiTheme="majorBidi" w:hAnsiTheme="majorBidi" w:cstheme="majorBidi"/>
            <w:color w:val="1155CC"/>
            <w:sz w:val="24"/>
            <w:szCs w:val="24"/>
            <w:u w:val="single"/>
          </w:rPr>
          <w:t>https://doi.org/10.1186/s12943-020-01286-3</w:t>
        </w:r>
      </w:hyperlink>
      <w:r w:rsidRPr="00C31F3B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C31F3B" w:rsidRPr="00C31F3B"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2A"/>
    <w:rsid w:val="00041C63"/>
    <w:rsid w:val="00084AB1"/>
    <w:rsid w:val="0018720D"/>
    <w:rsid w:val="0047112A"/>
    <w:rsid w:val="00545B1F"/>
    <w:rsid w:val="00574579"/>
    <w:rsid w:val="00A64EA2"/>
    <w:rsid w:val="00C31F3B"/>
    <w:rsid w:val="00E6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5827"/>
  <w15:docId w15:val="{3BB67D18-9477-4995-8C02-BD31C1BC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I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B3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05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B32"/>
  </w:style>
  <w:style w:type="paragraph" w:styleId="Footer">
    <w:name w:val="footer"/>
    <w:basedOn w:val="Normal"/>
    <w:link w:val="FooterChar"/>
    <w:uiPriority w:val="99"/>
    <w:unhideWhenUsed/>
    <w:rsid w:val="00605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B32"/>
  </w:style>
  <w:style w:type="paragraph" w:styleId="Caption">
    <w:name w:val="caption"/>
    <w:basedOn w:val="Normal"/>
    <w:next w:val="Normal"/>
    <w:uiPriority w:val="35"/>
    <w:unhideWhenUsed/>
    <w:qFormat/>
    <w:rsid w:val="00605B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lainTable2">
    <w:name w:val="Plain Table 2"/>
    <w:basedOn w:val="TableNormal"/>
    <w:uiPriority w:val="42"/>
    <w:rsid w:val="00605B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71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2D43"/>
    <w:rPr>
      <w:color w:val="0000FF"/>
      <w:u w:val="single"/>
    </w:rPr>
  </w:style>
  <w:style w:type="table" w:styleId="GridTable2">
    <w:name w:val="Grid Table 2"/>
    <w:basedOn w:val="TableNormal"/>
    <w:uiPriority w:val="47"/>
    <w:rsid w:val="00692D4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DF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zotero.org/google-docs/?ejkA5w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www.zotero.org/google-docs/?nCOoCe" TargetMode="External"/><Relationship Id="rId42" Type="http://schemas.openxmlformats.org/officeDocument/2006/relationships/hyperlink" Target="https://www.zotero.org/google-docs/?E8OBPx" TargetMode="External"/><Relationship Id="rId47" Type="http://schemas.openxmlformats.org/officeDocument/2006/relationships/hyperlink" Target="https://www.zotero.org/google-docs/?5nSJ4l" TargetMode="External"/><Relationship Id="rId63" Type="http://schemas.openxmlformats.org/officeDocument/2006/relationships/hyperlink" Target="https://www.zotero.org/google-docs/?ZiXNhJ" TargetMode="External"/><Relationship Id="rId68" Type="http://schemas.openxmlformats.org/officeDocument/2006/relationships/hyperlink" Target="https://www.zotero.org/google-docs/?Q4kwae" TargetMode="External"/><Relationship Id="rId84" Type="http://schemas.openxmlformats.org/officeDocument/2006/relationships/hyperlink" Target="https://doi.org/10.1080/15476286.2015.1020271" TargetMode="External"/><Relationship Id="rId89" Type="http://schemas.openxmlformats.org/officeDocument/2006/relationships/hyperlink" Target="https://doi.org/10.1093/nar/gkad554" TargetMode="External"/><Relationship Id="rId112" Type="http://schemas.openxmlformats.org/officeDocument/2006/relationships/hyperlink" Target="https://doi.org/10.1038/s41419-021-03743-3" TargetMode="External"/><Relationship Id="rId16" Type="http://schemas.openxmlformats.org/officeDocument/2006/relationships/hyperlink" Target="https://www.zotero.org/google-docs/?nCOoCe" TargetMode="External"/><Relationship Id="rId107" Type="http://schemas.openxmlformats.org/officeDocument/2006/relationships/hyperlink" Target="https://doi.org/10.3389/fimmu.2015.00175" TargetMode="External"/><Relationship Id="rId11" Type="http://schemas.openxmlformats.org/officeDocument/2006/relationships/hyperlink" Target="https://www.zotero.org/google-docs/?1d6NLd" TargetMode="External"/><Relationship Id="rId32" Type="http://schemas.openxmlformats.org/officeDocument/2006/relationships/hyperlink" Target="https://www.zotero.org/google-docs/?E8OBPx" TargetMode="External"/><Relationship Id="rId37" Type="http://schemas.openxmlformats.org/officeDocument/2006/relationships/hyperlink" Target="https://www.zotero.org/google-docs/?E8OBPx" TargetMode="External"/><Relationship Id="rId53" Type="http://schemas.openxmlformats.org/officeDocument/2006/relationships/hyperlink" Target="https://www.zotero.org/google-docs/?5nSJ4l" TargetMode="External"/><Relationship Id="rId58" Type="http://schemas.openxmlformats.org/officeDocument/2006/relationships/hyperlink" Target="https://www.zotero.org/google-docs/?ZiXNhJ" TargetMode="External"/><Relationship Id="rId74" Type="http://schemas.openxmlformats.org/officeDocument/2006/relationships/hyperlink" Target="https://www.zotero.org/google-docs/?DZctzt" TargetMode="External"/><Relationship Id="rId79" Type="http://schemas.openxmlformats.org/officeDocument/2006/relationships/hyperlink" Target="https://www.zotero.org/google-docs/?DZctzt" TargetMode="External"/><Relationship Id="rId102" Type="http://schemas.openxmlformats.org/officeDocument/2006/relationships/hyperlink" Target="https://www.zotero.org/google-docs/?9xT3CG" TargetMode="External"/><Relationship Id="rId5" Type="http://schemas.openxmlformats.org/officeDocument/2006/relationships/hyperlink" Target="https://www.zotero.org/google-docs/?1d6NLd" TargetMode="External"/><Relationship Id="rId90" Type="http://schemas.openxmlformats.org/officeDocument/2006/relationships/hyperlink" Target="https://doi.org/10.1186/s40164-023-00451-w" TargetMode="External"/><Relationship Id="rId95" Type="http://schemas.openxmlformats.org/officeDocument/2006/relationships/hyperlink" Target="https://www.zotero.org/google-docs/?CKVCfY" TargetMode="External"/><Relationship Id="rId22" Type="http://schemas.openxmlformats.org/officeDocument/2006/relationships/hyperlink" Target="https://www.zotero.org/google-docs/?nCOoCe" TargetMode="External"/><Relationship Id="rId27" Type="http://schemas.openxmlformats.org/officeDocument/2006/relationships/hyperlink" Target="https://www.zotero.org/google-docs/?ejkA5w" TargetMode="External"/><Relationship Id="rId43" Type="http://schemas.openxmlformats.org/officeDocument/2006/relationships/hyperlink" Target="https://www.zotero.org/google-docs/?5nSJ4l" TargetMode="External"/><Relationship Id="rId48" Type="http://schemas.openxmlformats.org/officeDocument/2006/relationships/hyperlink" Target="https://www.zotero.org/google-docs/?5nSJ4l" TargetMode="External"/><Relationship Id="rId64" Type="http://schemas.openxmlformats.org/officeDocument/2006/relationships/hyperlink" Target="https://www.zotero.org/google-docs/?ZiXNhJ" TargetMode="External"/><Relationship Id="rId69" Type="http://schemas.openxmlformats.org/officeDocument/2006/relationships/hyperlink" Target="https://www.zotero.org/google-docs/?Q4kwae" TargetMode="External"/><Relationship Id="rId113" Type="http://schemas.openxmlformats.org/officeDocument/2006/relationships/hyperlink" Target="https://doi.org/10.1016/j.omtn.2019.04.011" TargetMode="External"/><Relationship Id="rId80" Type="http://schemas.openxmlformats.org/officeDocument/2006/relationships/image" Target="media/image1.png"/><Relationship Id="rId85" Type="http://schemas.openxmlformats.org/officeDocument/2006/relationships/hyperlink" Target="https://doi.org/10.1038/s41587-022-01393-0" TargetMode="External"/><Relationship Id="rId12" Type="http://schemas.openxmlformats.org/officeDocument/2006/relationships/hyperlink" Target="https://www.zotero.org/google-docs/?1d6NLd" TargetMode="External"/><Relationship Id="rId17" Type="http://schemas.openxmlformats.org/officeDocument/2006/relationships/hyperlink" Target="https://www.zotero.org/google-docs/?nCOoCe" TargetMode="External"/><Relationship Id="rId33" Type="http://schemas.openxmlformats.org/officeDocument/2006/relationships/hyperlink" Target="https://www.zotero.org/google-docs/?E8OBPx" TargetMode="External"/><Relationship Id="rId38" Type="http://schemas.openxmlformats.org/officeDocument/2006/relationships/hyperlink" Target="https://www.zotero.org/google-docs/?E8OBPx" TargetMode="External"/><Relationship Id="rId59" Type="http://schemas.openxmlformats.org/officeDocument/2006/relationships/hyperlink" Target="https://www.zotero.org/google-docs/?ZiXNhJ" TargetMode="External"/><Relationship Id="rId103" Type="http://schemas.openxmlformats.org/officeDocument/2006/relationships/hyperlink" Target="https://doi.org/10.1186/s12943-017-0663-2" TargetMode="External"/><Relationship Id="rId108" Type="http://schemas.openxmlformats.org/officeDocument/2006/relationships/hyperlink" Target="https://doi.org/10.1093/nar/gkv045" TargetMode="External"/><Relationship Id="rId54" Type="http://schemas.openxmlformats.org/officeDocument/2006/relationships/hyperlink" Target="https://www.zotero.org/google-docs/?ZiXNhJ" TargetMode="External"/><Relationship Id="rId70" Type="http://schemas.openxmlformats.org/officeDocument/2006/relationships/hyperlink" Target="https://www.zotero.org/google-docs/?Q4kwae" TargetMode="External"/><Relationship Id="rId75" Type="http://schemas.openxmlformats.org/officeDocument/2006/relationships/hyperlink" Target="https://www.zotero.org/google-docs/?DZctzt" TargetMode="External"/><Relationship Id="rId91" Type="http://schemas.openxmlformats.org/officeDocument/2006/relationships/hyperlink" Target="https://www.zotero.org/google-docs/?CKVCfY" TargetMode="External"/><Relationship Id="rId96" Type="http://schemas.openxmlformats.org/officeDocument/2006/relationships/hyperlink" Target="https://doi.org/10.1186/s12943-017-0630-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zotero.org/google-docs/?1d6NLd" TargetMode="External"/><Relationship Id="rId23" Type="http://schemas.openxmlformats.org/officeDocument/2006/relationships/hyperlink" Target="https://www.zotero.org/google-docs/?ejkA5w" TargetMode="External"/><Relationship Id="rId28" Type="http://schemas.openxmlformats.org/officeDocument/2006/relationships/hyperlink" Target="https://www.zotero.org/google-docs/?ejkA5w" TargetMode="External"/><Relationship Id="rId49" Type="http://schemas.openxmlformats.org/officeDocument/2006/relationships/hyperlink" Target="https://www.zotero.org/google-docs/?5nSJ4l" TargetMode="External"/><Relationship Id="rId114" Type="http://schemas.openxmlformats.org/officeDocument/2006/relationships/hyperlink" Target="https://doi.org/10.1186/s12929-019-0523-z" TargetMode="External"/><Relationship Id="rId10" Type="http://schemas.openxmlformats.org/officeDocument/2006/relationships/hyperlink" Target="https://www.zotero.org/google-docs/?1d6NLd" TargetMode="External"/><Relationship Id="rId31" Type="http://schemas.openxmlformats.org/officeDocument/2006/relationships/hyperlink" Target="https://www.zotero.org/google-docs/?ejkA5w" TargetMode="External"/><Relationship Id="rId44" Type="http://schemas.openxmlformats.org/officeDocument/2006/relationships/hyperlink" Target="https://www.zotero.org/google-docs/?5nSJ4l" TargetMode="External"/><Relationship Id="rId52" Type="http://schemas.openxmlformats.org/officeDocument/2006/relationships/hyperlink" Target="https://www.zotero.org/google-docs/?5nSJ4l" TargetMode="External"/><Relationship Id="rId60" Type="http://schemas.openxmlformats.org/officeDocument/2006/relationships/hyperlink" Target="https://www.zotero.org/google-docs/?ZiXNhJ" TargetMode="External"/><Relationship Id="rId65" Type="http://schemas.openxmlformats.org/officeDocument/2006/relationships/hyperlink" Target="https://www.zotero.org/google-docs/?ZiXNhJ" TargetMode="External"/><Relationship Id="rId73" Type="http://schemas.openxmlformats.org/officeDocument/2006/relationships/hyperlink" Target="https://www.zotero.org/google-docs/?DZctzt" TargetMode="External"/><Relationship Id="rId78" Type="http://schemas.openxmlformats.org/officeDocument/2006/relationships/hyperlink" Target="https://www.zotero.org/google-docs/?DZctzt" TargetMode="External"/><Relationship Id="rId81" Type="http://schemas.openxmlformats.org/officeDocument/2006/relationships/image" Target="media/image2.png"/><Relationship Id="rId86" Type="http://schemas.openxmlformats.org/officeDocument/2006/relationships/hyperlink" Target="https://doi.org/10.3389/fbioe.2021.787881" TargetMode="External"/><Relationship Id="rId94" Type="http://schemas.openxmlformats.org/officeDocument/2006/relationships/hyperlink" Target="https://doi.org/10.1016/j.molcel.2018.06.034" TargetMode="External"/><Relationship Id="rId99" Type="http://schemas.openxmlformats.org/officeDocument/2006/relationships/hyperlink" Target="https://doi.org/10.7150/ijbs.85063" TargetMode="External"/><Relationship Id="rId101" Type="http://schemas.openxmlformats.org/officeDocument/2006/relationships/hyperlink" Target="https://doi.org/10.3389/fcell.2021.7095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otero.org/google-docs/?1d6NLd" TargetMode="External"/><Relationship Id="rId13" Type="http://schemas.openxmlformats.org/officeDocument/2006/relationships/hyperlink" Target="https://www.zotero.org/google-docs/?1d6NLd" TargetMode="External"/><Relationship Id="rId18" Type="http://schemas.openxmlformats.org/officeDocument/2006/relationships/hyperlink" Target="https://www.zotero.org/google-docs/?nCOoCe" TargetMode="External"/><Relationship Id="rId39" Type="http://schemas.openxmlformats.org/officeDocument/2006/relationships/hyperlink" Target="https://www.zotero.org/google-docs/?E8OBPx" TargetMode="External"/><Relationship Id="rId109" Type="http://schemas.openxmlformats.org/officeDocument/2006/relationships/hyperlink" Target="https://doi.org/10.1007/s12035-022-02941-0" TargetMode="External"/><Relationship Id="rId34" Type="http://schemas.openxmlformats.org/officeDocument/2006/relationships/hyperlink" Target="https://www.zotero.org/google-docs/?E8OBPx" TargetMode="External"/><Relationship Id="rId50" Type="http://schemas.openxmlformats.org/officeDocument/2006/relationships/hyperlink" Target="https://www.zotero.org/google-docs/?5nSJ4l" TargetMode="External"/><Relationship Id="rId55" Type="http://schemas.openxmlformats.org/officeDocument/2006/relationships/hyperlink" Target="https://www.zotero.org/google-docs/?ZiXNhJ" TargetMode="External"/><Relationship Id="rId76" Type="http://schemas.openxmlformats.org/officeDocument/2006/relationships/hyperlink" Target="https://www.zotero.org/google-docs/?DZctzt" TargetMode="External"/><Relationship Id="rId97" Type="http://schemas.openxmlformats.org/officeDocument/2006/relationships/hyperlink" Target="https://www.zotero.org/google-docs/?CKVCfY" TargetMode="External"/><Relationship Id="rId104" Type="http://schemas.openxmlformats.org/officeDocument/2006/relationships/hyperlink" Target="https://www.zotero.org/google-docs/?CKVCfY" TargetMode="External"/><Relationship Id="rId7" Type="http://schemas.openxmlformats.org/officeDocument/2006/relationships/hyperlink" Target="https://www.zotero.org/google-docs/?1d6NLd" TargetMode="External"/><Relationship Id="rId71" Type="http://schemas.openxmlformats.org/officeDocument/2006/relationships/hyperlink" Target="https://www.zotero.org/google-docs/?Q4kwae" TargetMode="External"/><Relationship Id="rId92" Type="http://schemas.openxmlformats.org/officeDocument/2006/relationships/hyperlink" Target="https://doi.org/10.1186/s13045-018-0643-z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zotero.org/google-docs/?ejkA5w" TargetMode="External"/><Relationship Id="rId24" Type="http://schemas.openxmlformats.org/officeDocument/2006/relationships/hyperlink" Target="https://www.zotero.org/google-docs/?ejkA5w" TargetMode="External"/><Relationship Id="rId40" Type="http://schemas.openxmlformats.org/officeDocument/2006/relationships/hyperlink" Target="https://www.zotero.org/google-docs/?E8OBPx" TargetMode="External"/><Relationship Id="rId45" Type="http://schemas.openxmlformats.org/officeDocument/2006/relationships/hyperlink" Target="https://www.zotero.org/google-docs/?5nSJ4l" TargetMode="External"/><Relationship Id="rId66" Type="http://schemas.openxmlformats.org/officeDocument/2006/relationships/hyperlink" Target="https://www.zotero.org/google-docs/?Q4kwae" TargetMode="External"/><Relationship Id="rId87" Type="http://schemas.openxmlformats.org/officeDocument/2006/relationships/hyperlink" Target="https://doi.org/10.1016/j.cell.2015.02.014" TargetMode="External"/><Relationship Id="rId110" Type="http://schemas.openxmlformats.org/officeDocument/2006/relationships/hyperlink" Target="https://doi.org/10.1038/s41598-018-37037-0" TargetMode="External"/><Relationship Id="rId115" Type="http://schemas.openxmlformats.org/officeDocument/2006/relationships/hyperlink" Target="https://doi.org/10.1186/s12943-020-01286-3" TargetMode="External"/><Relationship Id="rId61" Type="http://schemas.openxmlformats.org/officeDocument/2006/relationships/hyperlink" Target="https://www.zotero.org/google-docs/?ZiXNhJ" TargetMode="External"/><Relationship Id="rId82" Type="http://schemas.openxmlformats.org/officeDocument/2006/relationships/hyperlink" Target="https://www.zotero.org/google-docs/?9xT3CG" TargetMode="External"/><Relationship Id="rId19" Type="http://schemas.openxmlformats.org/officeDocument/2006/relationships/hyperlink" Target="https://www.zotero.org/google-docs/?nCOoCe" TargetMode="External"/><Relationship Id="rId14" Type="http://schemas.openxmlformats.org/officeDocument/2006/relationships/hyperlink" Target="https://www.zotero.org/google-docs/?nCOoCe" TargetMode="External"/><Relationship Id="rId30" Type="http://schemas.openxmlformats.org/officeDocument/2006/relationships/hyperlink" Target="https://www.zotero.org/google-docs/?ejkA5w" TargetMode="External"/><Relationship Id="rId35" Type="http://schemas.openxmlformats.org/officeDocument/2006/relationships/hyperlink" Target="https://www.zotero.org/google-docs/?E8OBPx" TargetMode="External"/><Relationship Id="rId56" Type="http://schemas.openxmlformats.org/officeDocument/2006/relationships/hyperlink" Target="https://www.zotero.org/google-docs/?ZiXNhJ" TargetMode="External"/><Relationship Id="rId77" Type="http://schemas.openxmlformats.org/officeDocument/2006/relationships/hyperlink" Target="https://www.zotero.org/google-docs/?DZctzt" TargetMode="External"/><Relationship Id="rId100" Type="http://schemas.openxmlformats.org/officeDocument/2006/relationships/hyperlink" Target="https://www.zotero.org/google-docs/?CKVCfY" TargetMode="External"/><Relationship Id="rId105" Type="http://schemas.openxmlformats.org/officeDocument/2006/relationships/hyperlink" Target="https://doi.org/10.1038/s41418-022-00948-7" TargetMode="External"/><Relationship Id="rId8" Type="http://schemas.openxmlformats.org/officeDocument/2006/relationships/hyperlink" Target="https://www.zotero.org/google-docs/?1d6NLd" TargetMode="External"/><Relationship Id="rId51" Type="http://schemas.openxmlformats.org/officeDocument/2006/relationships/hyperlink" Target="https://www.zotero.org/google-docs/?5nSJ4l" TargetMode="External"/><Relationship Id="rId72" Type="http://schemas.openxmlformats.org/officeDocument/2006/relationships/hyperlink" Target="https://www.zotero.org/google-docs/?Q4kwae" TargetMode="External"/><Relationship Id="rId93" Type="http://schemas.openxmlformats.org/officeDocument/2006/relationships/hyperlink" Target="https://www.zotero.org/google-docs/?o4vBgh" TargetMode="External"/><Relationship Id="rId98" Type="http://schemas.openxmlformats.org/officeDocument/2006/relationships/hyperlink" Target="https://doi.org/10.1016/j.addr.2023.11482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zotero.org/google-docs/?ejkA5w" TargetMode="External"/><Relationship Id="rId46" Type="http://schemas.openxmlformats.org/officeDocument/2006/relationships/hyperlink" Target="https://www.zotero.org/google-docs/?5nSJ4l" TargetMode="External"/><Relationship Id="rId67" Type="http://schemas.openxmlformats.org/officeDocument/2006/relationships/hyperlink" Target="https://www.zotero.org/google-docs/?Q4kwae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www.zotero.org/google-docs/?nCOoCe" TargetMode="External"/><Relationship Id="rId41" Type="http://schemas.openxmlformats.org/officeDocument/2006/relationships/hyperlink" Target="https://www.zotero.org/google-docs/?E8OBPx" TargetMode="External"/><Relationship Id="rId62" Type="http://schemas.openxmlformats.org/officeDocument/2006/relationships/hyperlink" Target="https://www.zotero.org/google-docs/?ZiXNhJ" TargetMode="External"/><Relationship Id="rId83" Type="http://schemas.openxmlformats.org/officeDocument/2006/relationships/hyperlink" Target="https://doi.org/10.1155/2019/3187972" TargetMode="External"/><Relationship Id="rId88" Type="http://schemas.openxmlformats.org/officeDocument/2006/relationships/hyperlink" Target="https://www.zotero.org/google-docs/?CKVCfY" TargetMode="External"/><Relationship Id="rId111" Type="http://schemas.openxmlformats.org/officeDocument/2006/relationships/hyperlink" Target="https://www.zotero.org/google-docs/?9xT3CG" TargetMode="External"/><Relationship Id="rId15" Type="http://schemas.openxmlformats.org/officeDocument/2006/relationships/hyperlink" Target="https://www.zotero.org/google-docs/?nCOoCe" TargetMode="External"/><Relationship Id="rId36" Type="http://schemas.openxmlformats.org/officeDocument/2006/relationships/hyperlink" Target="https://www.zotero.org/google-docs/?E8OBPx" TargetMode="External"/><Relationship Id="rId57" Type="http://schemas.openxmlformats.org/officeDocument/2006/relationships/hyperlink" Target="https://www.zotero.org/google-docs/?ZiXNhJ" TargetMode="External"/><Relationship Id="rId106" Type="http://schemas.openxmlformats.org/officeDocument/2006/relationships/hyperlink" Target="https://doi.org/10.1016/j.ymeth.2021.02.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ZYBeb7JbgEsiDpknUerjY35WpQ==">CgMxLjA4AHIhMTBQVDBGWlRZWGRPVFRCMWNFOWNQbHMxR0RFd2RjNC1v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3191</Words>
  <Characters>18190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Uddalak Das</dc:creator>
  <cp:lastModifiedBy>Uddalak Das</cp:lastModifiedBy>
  <cp:revision>7</cp:revision>
  <dcterms:created xsi:type="dcterms:W3CDTF">2024-09-23T02:41:00Z</dcterms:created>
  <dcterms:modified xsi:type="dcterms:W3CDTF">2024-09-24T14:33:00Z</dcterms:modified>
</cp:coreProperties>
</file>