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90E" w:rsidRPr="00055C8B" w:rsidRDefault="00055C8B">
      <w:pPr>
        <w:rPr>
          <w:rFonts w:ascii="Palatino Linotype" w:hAnsi="Palatino Linotype"/>
          <w:b/>
          <w:sz w:val="20"/>
          <w:szCs w:val="20"/>
          <w:lang w:val="en-US"/>
        </w:rPr>
      </w:pPr>
      <w:r w:rsidRPr="00055C8B">
        <w:rPr>
          <w:rFonts w:ascii="Palatino Linotype" w:hAnsi="Palatino Linotype"/>
          <w:b/>
          <w:sz w:val="20"/>
          <w:szCs w:val="20"/>
          <w:lang w:val="en-US"/>
        </w:rPr>
        <w:t>Supplementary Materials</w:t>
      </w:r>
    </w:p>
    <w:p w:rsidR="00055C8B" w:rsidRDefault="00055C8B" w:rsidP="00051367">
      <w:pPr>
        <w:spacing w:line="240" w:lineRule="auto"/>
        <w:ind w:firstLine="567"/>
        <w:jc w:val="both"/>
        <w:rPr>
          <w:rFonts w:ascii="Palatino Linotype" w:hAnsi="Palatino Linotype"/>
          <w:b/>
          <w:color w:val="000000"/>
          <w:sz w:val="18"/>
          <w:szCs w:val="18"/>
          <w:lang w:val="en-US"/>
        </w:rPr>
      </w:pPr>
      <w:r w:rsidRPr="00055C8B">
        <w:rPr>
          <w:rFonts w:ascii="Palatino Linotype" w:hAnsi="Palatino Linotype"/>
          <w:b/>
          <w:color w:val="000000"/>
          <w:sz w:val="18"/>
          <w:szCs w:val="18"/>
          <w:lang w:val="en-US"/>
        </w:rPr>
        <w:drawing>
          <wp:inline distT="0" distB="0" distL="0" distR="0">
            <wp:extent cx="5940425" cy="6447287"/>
            <wp:effectExtent l="19050" t="0" r="3175" b="0"/>
            <wp:docPr id="6" name="Рисунок 1" descr="E:\Публикации\Для статей\Субстраты\Для загрузки\MDPI\Supplementary Fig S1 de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убликации\Для статей\Субстраты\Для загрузки\MDPI\Supplementary Fig S1 demo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67" w:rsidRPr="00AE41F6" w:rsidRDefault="00051367" w:rsidP="00051367">
      <w:pPr>
        <w:spacing w:line="240" w:lineRule="auto"/>
        <w:ind w:firstLine="567"/>
        <w:jc w:val="both"/>
        <w:rPr>
          <w:rFonts w:ascii="Palatino Linotype" w:hAnsi="Palatino Linotype"/>
          <w:color w:val="000000"/>
          <w:sz w:val="18"/>
          <w:szCs w:val="18"/>
          <w:lang w:val="en-US"/>
        </w:rPr>
      </w:pPr>
      <w:proofErr w:type="gramStart"/>
      <w:r w:rsidRPr="00AE41F6">
        <w:rPr>
          <w:rFonts w:ascii="Palatino Linotype" w:hAnsi="Palatino Linotype"/>
          <w:b/>
          <w:color w:val="000000"/>
          <w:sz w:val="18"/>
          <w:szCs w:val="18"/>
          <w:lang w:val="en-US"/>
        </w:rPr>
        <w:t>Supplementary Fig.</w:t>
      </w:r>
      <w:proofErr w:type="gramEnd"/>
      <w:r w:rsidRPr="00AE41F6">
        <w:rPr>
          <w:rFonts w:ascii="Palatino Linotype" w:hAnsi="Palatino Linotype"/>
          <w:b/>
          <w:color w:val="000000"/>
          <w:sz w:val="18"/>
          <w:szCs w:val="18"/>
          <w:lang w:val="en-US"/>
        </w:rPr>
        <w:t xml:space="preserve"> S1. Dynamics of membrane potential and redox state of pyridine nucleotides (PN) in mitochondria during prolonged incubation in the presence of PTP modulator.</w:t>
      </w:r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 </w:t>
      </w:r>
      <w:proofErr w:type="gram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A and B. Effect of PTP modulators on the 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ΔΨm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 dynamics.</w:t>
      </w:r>
      <w:proofErr w:type="gram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 The incubation medium contained 0.5 mg/ml of mitochondrial protein, 5 mM malate plus 5 mM glutamate (M+G), 10 µM Ca</w:t>
      </w:r>
      <w:r w:rsidRPr="00AE41F6">
        <w:rPr>
          <w:rFonts w:ascii="Palatino Linotype" w:hAnsi="Palatino Linotype"/>
          <w:color w:val="000000"/>
          <w:sz w:val="18"/>
          <w:szCs w:val="18"/>
          <w:vertAlign w:val="superscript"/>
          <w:lang w:val="en-US"/>
        </w:rPr>
        <w:t>2+</w:t>
      </w:r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, 330 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nM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 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rhodamine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 123 (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Rhod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 123), and, where shown, 1 mM ADP, 1 mM NADH, 1 mM EGTA (EGTA), 5 µg/ml 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oligomycin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 (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Oligo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), and 1 µM cyclosporine A (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CsA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). C–E. Dynamics of </w:t>
      </w:r>
      <w:hyperlink r:id="rId5" w:tooltip="Learn more about PN from ScienceDirect's AI-generated Topic Pages" w:history="1">
        <w:r w:rsidRPr="00AE41F6">
          <w:rPr>
            <w:rStyle w:val="a5"/>
            <w:rFonts w:ascii="Palatino Linotype" w:hAnsi="Palatino Linotype"/>
            <w:color w:val="000000"/>
            <w:sz w:val="18"/>
            <w:szCs w:val="18"/>
            <w:lang w:val="en-US"/>
          </w:rPr>
          <w:t>PN</w:t>
        </w:r>
      </w:hyperlink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 fluorescence in a mitochondrial suspension in the presence of different respiratory substrates and PTP modulators. Where indicated, medium contained 5 mM malate plus 5 mM glutamate (M+G), 1mM EGTA, 1 mM ATP, 5 µg/ml 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Oligo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, 2 µg/ml rotenone (R), 1 µM 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CsA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, and 250 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nM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 FCCP. E. Arrows show the addition of EGTA, 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CsA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, R, substrates (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Substr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) (5 mM 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succinate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 (S) to R-containing samples (SR) and 5mM 3-hydroxybutyrate (3-HB)), and 25 µM Ca</w:t>
      </w:r>
      <w:r w:rsidRPr="00AE41F6">
        <w:rPr>
          <w:rFonts w:ascii="Palatino Linotype" w:hAnsi="Palatino Linotype"/>
          <w:color w:val="000000"/>
          <w:sz w:val="18"/>
          <w:szCs w:val="18"/>
          <w:vertAlign w:val="superscript"/>
          <w:lang w:val="en-US"/>
        </w:rPr>
        <w:t>2+</w:t>
      </w:r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. The concentration of free Ca</w:t>
      </w:r>
      <w:r w:rsidRPr="00AE41F6">
        <w:rPr>
          <w:rFonts w:ascii="Palatino Linotype" w:hAnsi="Palatino Linotype"/>
          <w:color w:val="000000"/>
          <w:sz w:val="18"/>
          <w:szCs w:val="18"/>
          <w:vertAlign w:val="superscript"/>
          <w:lang w:val="en-US"/>
        </w:rPr>
        <w:t xml:space="preserve">2+ </w:t>
      </w:r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was 10 (C and D) and ~ 3 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μM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 (E). In panels A and B and C–E, signal acquisition was performed at different gain. Points on the curves are the means of three technical replicates (n = 3). The figure shows representative experiments of at least three similar.</w:t>
      </w:r>
    </w:p>
    <w:p w:rsidR="00051367" w:rsidRPr="00AE41F6" w:rsidRDefault="00051367">
      <w:pPr>
        <w:rPr>
          <w:rFonts w:ascii="Palatino Linotype" w:hAnsi="Palatino Linotype"/>
          <w:sz w:val="18"/>
          <w:szCs w:val="18"/>
          <w:lang w:val="en-US"/>
        </w:rPr>
      </w:pPr>
    </w:p>
    <w:p w:rsidR="00051367" w:rsidRPr="00AE41F6" w:rsidRDefault="00051367">
      <w:pPr>
        <w:rPr>
          <w:rFonts w:ascii="Palatino Linotype" w:hAnsi="Palatino Linotype"/>
          <w:sz w:val="18"/>
          <w:szCs w:val="18"/>
          <w:lang w:val="en-US"/>
        </w:rPr>
      </w:pPr>
      <w:r w:rsidRPr="00AE41F6">
        <w:rPr>
          <w:rFonts w:ascii="Palatino Linotype" w:hAnsi="Palatino Linotype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770880" cy="6217920"/>
            <wp:effectExtent l="0" t="0" r="1270" b="0"/>
            <wp:docPr id="2" name="Рисунок 2" descr="E:\Публикации\Для статей\Субстраты\Для загрузки\MDPI\Supplementary Fig S2-de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убликации\Для статей\Субстраты\Для загрузки\MDPI\Supplementary Fig S2-demo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67" w:rsidRPr="00AE41F6" w:rsidRDefault="00051367">
      <w:pPr>
        <w:rPr>
          <w:rFonts w:ascii="Palatino Linotype" w:hAnsi="Palatino Linotype"/>
          <w:color w:val="000000"/>
          <w:sz w:val="18"/>
          <w:szCs w:val="18"/>
          <w:lang w:val="en-US"/>
        </w:rPr>
      </w:pPr>
      <w:proofErr w:type="gramStart"/>
      <w:r w:rsidRPr="00AE41F6">
        <w:rPr>
          <w:rFonts w:ascii="Palatino Linotype" w:hAnsi="Palatino Linotype"/>
          <w:b/>
          <w:color w:val="000000"/>
          <w:sz w:val="18"/>
          <w:szCs w:val="18"/>
          <w:lang w:val="en-US"/>
        </w:rPr>
        <w:t>Supplementary Fig.</w:t>
      </w:r>
      <w:proofErr w:type="gramEnd"/>
      <w:r w:rsidRPr="00AE41F6">
        <w:rPr>
          <w:rFonts w:ascii="Palatino Linotype" w:hAnsi="Palatino Linotype"/>
          <w:b/>
          <w:color w:val="000000"/>
          <w:sz w:val="18"/>
          <w:szCs w:val="18"/>
          <w:lang w:val="en-US"/>
        </w:rPr>
        <w:t xml:space="preserve"> S2. </w:t>
      </w:r>
      <w:proofErr w:type="gramStart"/>
      <w:r w:rsidRPr="00AE41F6">
        <w:rPr>
          <w:rFonts w:ascii="Palatino Linotype" w:hAnsi="Palatino Linotype"/>
          <w:b/>
          <w:color w:val="000000"/>
          <w:sz w:val="18"/>
          <w:szCs w:val="18"/>
          <w:lang w:val="en-US"/>
        </w:rPr>
        <w:t>Effect of respiratory substrates and PTP inhibitors on the release of SA (A, C, and E) and H</w:t>
      </w:r>
      <w:r w:rsidRPr="00AE41F6">
        <w:rPr>
          <w:rFonts w:ascii="Palatino Linotype" w:hAnsi="Palatino Linotype"/>
          <w:b/>
          <w:color w:val="000000"/>
          <w:sz w:val="18"/>
          <w:szCs w:val="18"/>
          <w:vertAlign w:val="subscript"/>
          <w:lang w:val="en-US"/>
        </w:rPr>
        <w:t>2</w:t>
      </w:r>
      <w:r w:rsidRPr="00AE41F6">
        <w:rPr>
          <w:rFonts w:ascii="Palatino Linotype" w:hAnsi="Palatino Linotype"/>
          <w:b/>
          <w:color w:val="000000"/>
          <w:sz w:val="18"/>
          <w:szCs w:val="18"/>
          <w:lang w:val="en-US"/>
        </w:rPr>
        <w:t>O</w:t>
      </w:r>
      <w:r w:rsidRPr="00AE41F6">
        <w:rPr>
          <w:rFonts w:ascii="Palatino Linotype" w:hAnsi="Palatino Linotype"/>
          <w:b/>
          <w:color w:val="000000"/>
          <w:sz w:val="18"/>
          <w:szCs w:val="18"/>
          <w:vertAlign w:val="subscript"/>
          <w:lang w:val="en-US"/>
        </w:rPr>
        <w:t>2</w:t>
      </w:r>
      <w:r w:rsidRPr="00AE41F6">
        <w:rPr>
          <w:rFonts w:ascii="Palatino Linotype" w:hAnsi="Palatino Linotype"/>
          <w:b/>
          <w:color w:val="000000"/>
          <w:sz w:val="18"/>
          <w:szCs w:val="18"/>
          <w:lang w:val="en-US"/>
        </w:rPr>
        <w:t xml:space="preserve"> (B, D, and F) from RLM.</w:t>
      </w:r>
      <w:proofErr w:type="gram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 RLM (0.75 mg protein/ml) were placed in the standard 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KCl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-BM without added respiratory substrates and EGTA, and the suspension was processed as described in the legend to Fig. 1. The wells contained 5 mM GM (A and B), 5 mM 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Pyr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 (C and D), 5 mM 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Suc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 plus rotenone (2 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μg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/ml) (SR) (E and F), and, where indicated, 1 mM EGTA, 2 µM RR, and 1 µM 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CsA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. The intensity of MDCL expressed in AU is shown. Points on the curves are the means ± standard deviation (n = 3) of three technical replicates. The rate of H</w:t>
      </w:r>
      <w:r w:rsidRPr="00AE41F6">
        <w:rPr>
          <w:rFonts w:ascii="Palatino Linotype" w:hAnsi="Palatino Linotype"/>
          <w:color w:val="000000"/>
          <w:sz w:val="18"/>
          <w:szCs w:val="18"/>
          <w:vertAlign w:val="subscript"/>
          <w:lang w:val="en-US"/>
        </w:rPr>
        <w:t>2</w:t>
      </w:r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O</w:t>
      </w:r>
      <w:r w:rsidRPr="00AE41F6">
        <w:rPr>
          <w:rFonts w:ascii="Palatino Linotype" w:hAnsi="Palatino Linotype"/>
          <w:color w:val="000000"/>
          <w:sz w:val="18"/>
          <w:szCs w:val="18"/>
          <w:vertAlign w:val="subscript"/>
          <w:lang w:val="en-US"/>
        </w:rPr>
        <w:t>2</w:t>
      </w:r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 production is expressed in pmol·min</w:t>
      </w:r>
      <w:r w:rsidRPr="00AE41F6">
        <w:rPr>
          <w:rFonts w:ascii="Palatino Linotype" w:hAnsi="Palatino Linotype"/>
          <w:color w:val="000000"/>
          <w:sz w:val="18"/>
          <w:szCs w:val="18"/>
          <w:vertAlign w:val="superscript"/>
          <w:lang w:val="en-US"/>
        </w:rPr>
        <w:t>-1</w:t>
      </w:r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·mg protein</w:t>
      </w:r>
      <w:r w:rsidRPr="00AE41F6">
        <w:rPr>
          <w:rFonts w:ascii="Palatino Linotype" w:hAnsi="Palatino Linotype"/>
          <w:color w:val="000000"/>
          <w:sz w:val="18"/>
          <w:szCs w:val="18"/>
          <w:vertAlign w:val="superscript"/>
          <w:lang w:val="en-US"/>
        </w:rPr>
        <w:t>-1</w:t>
      </w:r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. Points on the curves are the means of three technical replicates (n = 3). The figure shows one representative experiment of at least five similar.</w:t>
      </w:r>
    </w:p>
    <w:p w:rsidR="00051367" w:rsidRPr="00AE41F6" w:rsidRDefault="00051367">
      <w:pPr>
        <w:rPr>
          <w:rFonts w:ascii="Palatino Linotype" w:hAnsi="Palatino Linotype"/>
          <w:color w:val="000000"/>
          <w:sz w:val="18"/>
          <w:szCs w:val="18"/>
          <w:lang w:val="en-US"/>
        </w:rPr>
      </w:pPr>
    </w:p>
    <w:p w:rsidR="00051367" w:rsidRPr="00AE41F6" w:rsidRDefault="00051367">
      <w:pPr>
        <w:rPr>
          <w:rFonts w:ascii="Palatino Linotype" w:hAnsi="Palatino Linotype"/>
          <w:sz w:val="18"/>
          <w:szCs w:val="18"/>
          <w:lang w:val="en-US"/>
        </w:rPr>
      </w:pPr>
      <w:r w:rsidRPr="00AE41F6">
        <w:rPr>
          <w:rFonts w:ascii="Palatino Linotype" w:hAnsi="Palatino Linotype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940425" cy="3904392"/>
            <wp:effectExtent l="0" t="0" r="3175" b="1270"/>
            <wp:docPr id="3" name="Рисунок 3" descr="E:\Публикации\Для статей\Субстраты\Для загрузки\MDPI\Supplementary Fig S3-de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убликации\Для статей\Субстраты\Для загрузки\MDPI\Supplementary Fig S3-demo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67" w:rsidRPr="00AE41F6" w:rsidRDefault="00051367">
      <w:pPr>
        <w:rPr>
          <w:rFonts w:ascii="Palatino Linotype" w:hAnsi="Palatino Linotype"/>
          <w:color w:val="000000"/>
          <w:sz w:val="18"/>
          <w:szCs w:val="18"/>
          <w:lang w:val="en-US"/>
        </w:rPr>
      </w:pPr>
      <w:proofErr w:type="gramStart"/>
      <w:r w:rsidRPr="00AE41F6">
        <w:rPr>
          <w:rFonts w:ascii="Palatino Linotype" w:hAnsi="Palatino Linotype"/>
          <w:b/>
          <w:color w:val="000000"/>
          <w:sz w:val="18"/>
          <w:szCs w:val="18"/>
          <w:lang w:val="en-US"/>
        </w:rPr>
        <w:t>Supplementary Fig.</w:t>
      </w:r>
      <w:proofErr w:type="gramEnd"/>
      <w:r w:rsidRPr="00AE41F6">
        <w:rPr>
          <w:rFonts w:ascii="Palatino Linotype" w:hAnsi="Palatino Linotype"/>
          <w:b/>
          <w:color w:val="000000"/>
          <w:sz w:val="18"/>
          <w:szCs w:val="18"/>
          <w:lang w:val="en-US"/>
        </w:rPr>
        <w:t xml:space="preserve"> S3.</w:t>
      </w:r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 </w:t>
      </w:r>
      <w:proofErr w:type="gramStart"/>
      <w:r w:rsidRPr="00AE41F6">
        <w:rPr>
          <w:rFonts w:ascii="Palatino Linotype" w:hAnsi="Palatino Linotype"/>
          <w:b/>
          <w:color w:val="000000"/>
          <w:sz w:val="18"/>
          <w:szCs w:val="18"/>
          <w:lang w:val="en-US"/>
        </w:rPr>
        <w:t xml:space="preserve">Dose-response effect of </w:t>
      </w:r>
      <w:proofErr w:type="spellStart"/>
      <w:r w:rsidRPr="00AE41F6">
        <w:rPr>
          <w:rFonts w:ascii="Palatino Linotype" w:hAnsi="Palatino Linotype"/>
          <w:b/>
          <w:color w:val="000000"/>
          <w:sz w:val="18"/>
          <w:szCs w:val="18"/>
          <w:shd w:val="clear" w:color="auto" w:fill="FFFFFF"/>
          <w:lang w:val="en-US"/>
        </w:rPr>
        <w:t>dicarboxylates</w:t>
      </w:r>
      <w:proofErr w:type="spellEnd"/>
      <w:r w:rsidRPr="00AE41F6">
        <w:rPr>
          <w:rFonts w:ascii="Palatino Linotype" w:hAnsi="Palatino Linotype"/>
          <w:b/>
          <w:color w:val="000000"/>
          <w:sz w:val="18"/>
          <w:szCs w:val="18"/>
          <w:lang w:val="en-US"/>
        </w:rPr>
        <w:t xml:space="preserve"> on the release of SA and H</w:t>
      </w:r>
      <w:r w:rsidRPr="00AE41F6">
        <w:rPr>
          <w:rFonts w:ascii="Palatino Linotype" w:hAnsi="Palatino Linotype"/>
          <w:b/>
          <w:color w:val="000000"/>
          <w:sz w:val="18"/>
          <w:szCs w:val="18"/>
          <w:vertAlign w:val="subscript"/>
          <w:lang w:val="en-US"/>
        </w:rPr>
        <w:t>2</w:t>
      </w:r>
      <w:r w:rsidRPr="00AE41F6">
        <w:rPr>
          <w:rFonts w:ascii="Palatino Linotype" w:hAnsi="Palatino Linotype"/>
          <w:b/>
          <w:color w:val="000000"/>
          <w:sz w:val="18"/>
          <w:szCs w:val="18"/>
          <w:lang w:val="en-US"/>
        </w:rPr>
        <w:t>O</w:t>
      </w:r>
      <w:r w:rsidRPr="00AE41F6">
        <w:rPr>
          <w:rFonts w:ascii="Palatino Linotype" w:hAnsi="Palatino Linotype"/>
          <w:b/>
          <w:color w:val="000000"/>
          <w:sz w:val="18"/>
          <w:szCs w:val="18"/>
          <w:vertAlign w:val="subscript"/>
          <w:lang w:val="en-US"/>
        </w:rPr>
        <w:t>2</w:t>
      </w:r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 </w:t>
      </w:r>
      <w:r w:rsidRPr="00AE41F6">
        <w:rPr>
          <w:rFonts w:ascii="Palatino Linotype" w:hAnsi="Palatino Linotype"/>
          <w:b/>
          <w:color w:val="000000"/>
          <w:sz w:val="18"/>
          <w:szCs w:val="18"/>
          <w:lang w:val="en-US"/>
        </w:rPr>
        <w:t>from mitochondria.</w:t>
      </w:r>
      <w:proofErr w:type="gram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 RLM (</w:t>
      </w:r>
      <w:r w:rsidRPr="00AE41F6">
        <w:rPr>
          <w:rFonts w:ascii="Palatino Linotype" w:hAnsi="Palatino Linotype"/>
          <w:b/>
          <w:color w:val="000000"/>
          <w:sz w:val="18"/>
          <w:szCs w:val="18"/>
          <w:lang w:val="en-US"/>
        </w:rPr>
        <w:t>0.75 mg protein/ml</w:t>
      </w:r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) were placed in the standard 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KCl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-BM without respiratory substrates but supplemented with 1 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μM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 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CsA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, and the suspension was processed as described in Fig. 3. Were indicated, the wells contained 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Suc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, 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fumarate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 (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Fum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), malate (Mal) at indicated concentrations, and SOD (100 U/ml). In all panels, blue and red symbols show the cumulative MDCL and H</w:t>
      </w:r>
      <w:r w:rsidRPr="00AE41F6">
        <w:rPr>
          <w:rFonts w:ascii="Palatino Linotype" w:hAnsi="Palatino Linotype"/>
          <w:color w:val="000000"/>
          <w:sz w:val="18"/>
          <w:szCs w:val="18"/>
          <w:vertAlign w:val="subscript"/>
          <w:lang w:val="en-US"/>
        </w:rPr>
        <w:t>2</w:t>
      </w:r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O</w:t>
      </w:r>
      <w:r w:rsidRPr="00AE41F6">
        <w:rPr>
          <w:rFonts w:ascii="Palatino Linotype" w:hAnsi="Palatino Linotype"/>
          <w:color w:val="000000"/>
          <w:sz w:val="18"/>
          <w:szCs w:val="18"/>
          <w:vertAlign w:val="subscript"/>
          <w:lang w:val="en-US"/>
        </w:rPr>
        <w:t>2</w:t>
      </w:r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 production </w:t>
      </w:r>
      <w:r w:rsidRPr="00AE41F6">
        <w:rPr>
          <w:rFonts w:ascii="Palatino Linotype" w:hAnsi="Palatino Linotype"/>
          <w:bCs/>
          <w:color w:val="000000"/>
          <w:sz w:val="18"/>
          <w:szCs w:val="18"/>
          <w:lang w:val="en-US"/>
        </w:rPr>
        <w:t xml:space="preserve">in </w:t>
      </w:r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the first hour of incubation, respectively. Blue doted lines show the MDCL level in the presence of SOD and indicated substrates. Experimental points are the means ± S.D. (n = 3) of three technical replicates. The figure shows one representative experiment of at least three similar.</w:t>
      </w:r>
    </w:p>
    <w:p w:rsidR="00051367" w:rsidRPr="00AE41F6" w:rsidRDefault="00051367">
      <w:pPr>
        <w:rPr>
          <w:rFonts w:ascii="Palatino Linotype" w:hAnsi="Palatino Linotype"/>
          <w:color w:val="000000"/>
          <w:sz w:val="18"/>
          <w:szCs w:val="18"/>
          <w:lang w:val="en-US"/>
        </w:rPr>
      </w:pPr>
    </w:p>
    <w:p w:rsidR="00051367" w:rsidRPr="00AE41F6" w:rsidRDefault="00051367">
      <w:pPr>
        <w:rPr>
          <w:rFonts w:ascii="Palatino Linotype" w:hAnsi="Palatino Linotype"/>
          <w:sz w:val="18"/>
          <w:szCs w:val="18"/>
          <w:lang w:val="en-US"/>
        </w:rPr>
      </w:pPr>
      <w:r w:rsidRPr="00AE41F6">
        <w:rPr>
          <w:rFonts w:ascii="Palatino Linotype" w:hAnsi="Palatino Linotype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940425" cy="4197343"/>
            <wp:effectExtent l="0" t="0" r="3175" b="0"/>
            <wp:docPr id="4" name="Рисунок 4" descr="E:\Публикации\Для статей\Субстраты\Для загрузки\MDPI\Supplementary Fig S4 de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убликации\Для статей\Субстраты\Для загрузки\MDPI\Supplementary Fig S4 demo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67" w:rsidRPr="00AE41F6" w:rsidRDefault="00051367">
      <w:pPr>
        <w:rPr>
          <w:rFonts w:ascii="Palatino Linotype" w:hAnsi="Palatino Linotype"/>
          <w:color w:val="000000"/>
          <w:sz w:val="18"/>
          <w:szCs w:val="18"/>
          <w:lang w:val="en-US"/>
        </w:rPr>
      </w:pPr>
      <w:proofErr w:type="gramStart"/>
      <w:r w:rsidRPr="00AE41F6">
        <w:rPr>
          <w:rFonts w:ascii="Palatino Linotype" w:hAnsi="Palatino Linotype"/>
          <w:b/>
          <w:color w:val="000000"/>
          <w:sz w:val="18"/>
          <w:szCs w:val="18"/>
          <w:lang w:val="en-US"/>
        </w:rPr>
        <w:t>Supplementary Fig.</w:t>
      </w:r>
      <w:proofErr w:type="gramEnd"/>
      <w:r w:rsidRPr="00AE41F6">
        <w:rPr>
          <w:rFonts w:ascii="Palatino Linotype" w:hAnsi="Palatino Linotype"/>
          <w:b/>
          <w:color w:val="000000"/>
          <w:sz w:val="18"/>
          <w:szCs w:val="18"/>
          <w:lang w:val="en-US"/>
        </w:rPr>
        <w:t xml:space="preserve"> S4. </w:t>
      </w:r>
      <w:proofErr w:type="gramStart"/>
      <w:r w:rsidRPr="00AE41F6">
        <w:rPr>
          <w:rFonts w:ascii="Palatino Linotype" w:hAnsi="Palatino Linotype"/>
          <w:b/>
          <w:color w:val="000000"/>
          <w:sz w:val="18"/>
          <w:szCs w:val="18"/>
          <w:lang w:val="en-US"/>
        </w:rPr>
        <w:t xml:space="preserve">Effect of </w:t>
      </w:r>
      <w:proofErr w:type="spellStart"/>
      <w:r w:rsidRPr="00AE41F6">
        <w:rPr>
          <w:rFonts w:ascii="Palatino Linotype" w:hAnsi="Palatino Linotype"/>
          <w:b/>
          <w:color w:val="000000"/>
          <w:sz w:val="18"/>
          <w:szCs w:val="18"/>
          <w:lang w:val="en-US"/>
        </w:rPr>
        <w:t>Suc</w:t>
      </w:r>
      <w:proofErr w:type="spellEnd"/>
      <w:r w:rsidRPr="00AE41F6">
        <w:rPr>
          <w:rFonts w:ascii="Palatino Linotype" w:hAnsi="Palatino Linotype"/>
          <w:b/>
          <w:color w:val="000000"/>
          <w:sz w:val="18"/>
          <w:szCs w:val="18"/>
          <w:lang w:val="en-US"/>
        </w:rPr>
        <w:t xml:space="preserve">, Rot, and </w:t>
      </w:r>
      <w:proofErr w:type="spellStart"/>
      <w:r w:rsidRPr="00AE41F6">
        <w:rPr>
          <w:rFonts w:ascii="Palatino Linotype" w:hAnsi="Palatino Linotype"/>
          <w:b/>
          <w:color w:val="000000"/>
          <w:sz w:val="18"/>
          <w:szCs w:val="18"/>
          <w:lang w:val="en-US"/>
        </w:rPr>
        <w:t>CsA</w:t>
      </w:r>
      <w:proofErr w:type="spellEnd"/>
      <w:r w:rsidRPr="00AE41F6">
        <w:rPr>
          <w:rFonts w:ascii="Palatino Linotype" w:hAnsi="Palatino Linotype"/>
          <w:b/>
          <w:color w:val="000000"/>
          <w:sz w:val="18"/>
          <w:szCs w:val="18"/>
          <w:lang w:val="en-US"/>
        </w:rPr>
        <w:t xml:space="preserve"> on the kinetics of SA release from intact RLM.</w:t>
      </w:r>
      <w:proofErr w:type="gramEnd"/>
      <w:r w:rsidRPr="00AE41F6">
        <w:rPr>
          <w:rFonts w:ascii="Palatino Linotype" w:hAnsi="Palatino Linotype"/>
          <w:b/>
          <w:color w:val="000000"/>
          <w:sz w:val="18"/>
          <w:szCs w:val="18"/>
          <w:lang w:val="en-US"/>
        </w:rPr>
        <w:t xml:space="preserve"> </w:t>
      </w:r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Experimental conditions were as in Fig. 6. Concentrations of 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Suc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, Rot, 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CsA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, and SOD were 5 mM,</w:t>
      </w:r>
      <w:r w:rsidRPr="00AE41F6">
        <w:rPr>
          <w:rFonts w:ascii="Palatino Linotype" w:hAnsi="Palatino Linotype"/>
          <w:b/>
          <w:color w:val="000000"/>
          <w:sz w:val="18"/>
          <w:szCs w:val="18"/>
          <w:lang w:val="en-US"/>
        </w:rPr>
        <w:t xml:space="preserve"> </w:t>
      </w:r>
      <w:proofErr w:type="gram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2 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μg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/ml</w:t>
      </w:r>
      <w:proofErr w:type="gram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, 1 </w:t>
      </w:r>
      <w:proofErr w:type="spellStart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μM</w:t>
      </w:r>
      <w:proofErr w:type="spellEnd"/>
      <w:r w:rsidRPr="00AE41F6">
        <w:rPr>
          <w:rFonts w:ascii="Palatino Linotype" w:hAnsi="Palatino Linotype"/>
          <w:color w:val="000000"/>
          <w:sz w:val="18"/>
          <w:szCs w:val="18"/>
          <w:lang w:val="en-US"/>
        </w:rPr>
        <w:t>, and 100 U/ml, respectively. Experimental points are the means ± S.D. (n = 3) of three technical replicates. The figure shows one representative experiment of at least three similar.</w:t>
      </w:r>
    </w:p>
    <w:p w:rsidR="00055C8B" w:rsidRDefault="00055C8B">
      <w:pPr>
        <w:rPr>
          <w:rFonts w:ascii="Palatino Linotype" w:hAnsi="Palatino Linotype"/>
          <w:sz w:val="18"/>
          <w:szCs w:val="18"/>
          <w:lang w:val="en-US"/>
        </w:rPr>
      </w:pPr>
      <w:r>
        <w:rPr>
          <w:rFonts w:ascii="Palatino Linotype" w:hAnsi="Palatino Linotype"/>
          <w:sz w:val="18"/>
          <w:szCs w:val="18"/>
          <w:lang w:val="en-US"/>
        </w:rPr>
        <w:br w:type="page"/>
      </w:r>
    </w:p>
    <w:p w:rsidR="00DE48F6" w:rsidRPr="00AE41F6" w:rsidRDefault="00DE48F6" w:rsidP="00DE48F6">
      <w:pPr>
        <w:rPr>
          <w:rFonts w:ascii="Palatino Linotype" w:hAnsi="Palatino Linotype" w:cs="Times New Roman"/>
          <w:b/>
          <w:sz w:val="18"/>
          <w:szCs w:val="18"/>
          <w:lang w:val="en-US"/>
        </w:rPr>
      </w:pPr>
      <w:proofErr w:type="gramStart"/>
      <w:r w:rsidRPr="00AE41F6">
        <w:rPr>
          <w:rFonts w:ascii="Palatino Linotype" w:hAnsi="Palatino Linotype" w:cs="Times New Roman"/>
          <w:b/>
          <w:sz w:val="18"/>
          <w:szCs w:val="18"/>
          <w:lang w:val="en-US"/>
        </w:rPr>
        <w:lastRenderedPageBreak/>
        <w:t>Supplementary Table S1.</w:t>
      </w:r>
      <w:proofErr w:type="gramEnd"/>
      <w:r w:rsidRPr="00AE41F6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 </w:t>
      </w:r>
      <w:proofErr w:type="gramStart"/>
      <w:r w:rsidRPr="00AE41F6">
        <w:rPr>
          <w:rFonts w:ascii="Palatino Linotype" w:hAnsi="Palatino Linotype" w:cs="Times New Roman"/>
          <w:b/>
          <w:sz w:val="18"/>
          <w:szCs w:val="18"/>
          <w:lang w:val="en-US"/>
        </w:rPr>
        <w:t>Suppression of spontaneous and xanthine oxidase-dependent SA generation by respiratory substrates that are alpha-</w:t>
      </w:r>
      <w:proofErr w:type="spellStart"/>
      <w:r w:rsidRPr="00AE41F6">
        <w:rPr>
          <w:rFonts w:ascii="Palatino Linotype" w:hAnsi="Palatino Linotype" w:cs="Times New Roman"/>
          <w:b/>
          <w:sz w:val="18"/>
          <w:szCs w:val="18"/>
          <w:lang w:val="en-US"/>
        </w:rPr>
        <w:t>keto</w:t>
      </w:r>
      <w:proofErr w:type="spellEnd"/>
      <w:r w:rsidRPr="00AE41F6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 acids.</w:t>
      </w:r>
      <w:proofErr w:type="gramEnd"/>
      <w:r w:rsidRPr="00AE41F6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  </w:t>
      </w:r>
    </w:p>
    <w:tbl>
      <w:tblPr>
        <w:tblStyle w:val="a6"/>
        <w:tblW w:w="0" w:type="auto"/>
        <w:tblLook w:val="04A0"/>
      </w:tblPr>
      <w:tblGrid>
        <w:gridCol w:w="1809"/>
        <w:gridCol w:w="2976"/>
        <w:gridCol w:w="2393"/>
        <w:gridCol w:w="2393"/>
      </w:tblGrid>
      <w:tr w:rsidR="00DE48F6" w:rsidRPr="00AE41F6" w:rsidTr="00ED2D43">
        <w:tc>
          <w:tcPr>
            <w:tcW w:w="1809" w:type="dxa"/>
            <w:vAlign w:val="center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Substrate</w:t>
            </w:r>
          </w:p>
        </w:tc>
        <w:tc>
          <w:tcPr>
            <w:tcW w:w="2976" w:type="dxa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b/>
                <w:sz w:val="18"/>
                <w:szCs w:val="18"/>
              </w:rPr>
            </w:pPr>
            <w:proofErr w:type="spellStart"/>
            <w:r w:rsidRPr="00AE41F6">
              <w:rPr>
                <w:rFonts w:ascii="Palatino Linotype" w:hAnsi="Palatino Linotype" w:cs="Times New Roman"/>
                <w:b/>
                <w:sz w:val="18"/>
                <w:szCs w:val="18"/>
              </w:rPr>
              <w:t>Structural</w:t>
            </w:r>
            <w:proofErr w:type="spellEnd"/>
            <w:r w:rsidRPr="00AE41F6">
              <w:rPr>
                <w:rFonts w:ascii="Palatino Linotype" w:hAnsi="Palatino Linotype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AE41F6">
              <w:rPr>
                <w:rFonts w:ascii="Palatino Linotype" w:hAnsi="Palatino Linotype" w:cs="Times New Roman"/>
                <w:b/>
                <w:sz w:val="18"/>
                <w:szCs w:val="18"/>
              </w:rPr>
              <w:t>formula</w:t>
            </w:r>
            <w:proofErr w:type="spellEnd"/>
          </w:p>
        </w:tc>
        <w:tc>
          <w:tcPr>
            <w:tcW w:w="2393" w:type="dxa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AE41F6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XnXnOx</w:t>
            </w:r>
            <w:proofErr w:type="spellEnd"/>
          </w:p>
        </w:tc>
        <w:tc>
          <w:tcPr>
            <w:tcW w:w="2393" w:type="dxa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Solution</w:t>
            </w:r>
          </w:p>
        </w:tc>
      </w:tr>
      <w:tr w:rsidR="00DE48F6" w:rsidRPr="00AE41F6" w:rsidTr="00ED2D43">
        <w:tc>
          <w:tcPr>
            <w:tcW w:w="1809" w:type="dxa"/>
            <w:vAlign w:val="center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sz w:val="18"/>
                <w:szCs w:val="18"/>
              </w:rPr>
              <w:t xml:space="preserve">3-hydroxy </w:t>
            </w:r>
            <w:proofErr w:type="spellStart"/>
            <w:r w:rsidRPr="00AE41F6">
              <w:rPr>
                <w:rFonts w:ascii="Palatino Linotype" w:hAnsi="Palatino Linotype" w:cs="Times New Roman"/>
                <w:sz w:val="18"/>
                <w:szCs w:val="18"/>
              </w:rPr>
              <w:t>butyrate</w:t>
            </w:r>
            <w:proofErr w:type="spellEnd"/>
            <w:r w:rsidRPr="00AE41F6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 xml:space="preserve"> </w:t>
            </w:r>
          </w:p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(3-HB)</w:t>
            </w:r>
          </w:p>
        </w:tc>
        <w:tc>
          <w:tcPr>
            <w:tcW w:w="2976" w:type="dxa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sz w:val="18"/>
                <w:szCs w:val="18"/>
              </w:rPr>
            </w:pPr>
            <w:r w:rsidRPr="00AE41F6">
              <w:rPr>
                <w:rFonts w:ascii="Palatino Linotype" w:hAnsi="Palatino Linotype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36015" cy="501019"/>
                  <wp:effectExtent l="19050" t="0" r="6985" b="0"/>
                  <wp:docPr id="9" name="Рисунок 7" descr="C:\Users\Anna Borisovna\AppData\Local\Microsoft\Windows\Temporary Internet Files\Content.Word\beta-hydroxybutyric-acid-2048x1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na Borisovna\AppData\Local\Microsoft\Windows\Temporary Internet Files\Content.Word\beta-hydroxybutyric-acid-2048x1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40" cy="50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2393" w:type="dxa"/>
            <w:vAlign w:val="center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-</w:t>
            </w:r>
          </w:p>
        </w:tc>
      </w:tr>
      <w:tr w:rsidR="00DE48F6" w:rsidRPr="00AE41F6" w:rsidTr="00ED2D43">
        <w:tc>
          <w:tcPr>
            <w:tcW w:w="1809" w:type="dxa"/>
            <w:vAlign w:val="center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P</w:t>
            </w:r>
            <w:proofErr w:type="spellStart"/>
            <w:r w:rsidRPr="00AE41F6">
              <w:rPr>
                <w:rFonts w:ascii="Palatino Linotype" w:hAnsi="Palatino Linotype" w:cs="Times New Roman"/>
                <w:sz w:val="18"/>
                <w:szCs w:val="18"/>
              </w:rPr>
              <w:t>yruvate</w:t>
            </w:r>
            <w:proofErr w:type="spellEnd"/>
            <w:r w:rsidRPr="00AE41F6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 xml:space="preserve"> </w:t>
            </w:r>
          </w:p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(</w:t>
            </w:r>
            <w:proofErr w:type="spellStart"/>
            <w:r w:rsidRPr="00AE41F6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Pyr</w:t>
            </w:r>
            <w:proofErr w:type="spellEnd"/>
            <w:r w:rsidRPr="00AE41F6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)</w:t>
            </w:r>
          </w:p>
        </w:tc>
        <w:tc>
          <w:tcPr>
            <w:tcW w:w="2976" w:type="dxa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sz w:val="18"/>
                <w:szCs w:val="18"/>
              </w:rPr>
            </w:pPr>
            <w:r w:rsidRPr="00AE41F6">
              <w:rPr>
                <w:rFonts w:ascii="Palatino Linotype" w:hAnsi="Palatino Linotype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34608" cy="742950"/>
                  <wp:effectExtent l="0" t="0" r="0" b="0"/>
                  <wp:docPr id="10" name="Рисунок 5" descr="E:\Публикации\Для статей\Субстраты\pyruvat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Публикации\Для статей\Субстраты\pyruvat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882" cy="74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2393" w:type="dxa"/>
            <w:vAlign w:val="center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+</w:t>
            </w:r>
          </w:p>
        </w:tc>
      </w:tr>
      <w:tr w:rsidR="00DE48F6" w:rsidRPr="00AE41F6" w:rsidTr="00ED2D43">
        <w:tc>
          <w:tcPr>
            <w:tcW w:w="1809" w:type="dxa"/>
            <w:vAlign w:val="center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S</w:t>
            </w:r>
            <w:proofErr w:type="spellStart"/>
            <w:r w:rsidRPr="00AE41F6">
              <w:rPr>
                <w:rFonts w:ascii="Palatino Linotype" w:hAnsi="Palatino Linotype" w:cs="Times New Roman"/>
                <w:sz w:val="18"/>
                <w:szCs w:val="18"/>
              </w:rPr>
              <w:t>uccinate</w:t>
            </w:r>
            <w:proofErr w:type="spellEnd"/>
            <w:r w:rsidRPr="00AE41F6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 xml:space="preserve"> </w:t>
            </w:r>
          </w:p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(</w:t>
            </w:r>
            <w:proofErr w:type="spellStart"/>
            <w:r w:rsidRPr="00AE41F6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Suc</w:t>
            </w:r>
            <w:proofErr w:type="spellEnd"/>
            <w:r w:rsidRPr="00AE41F6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)</w:t>
            </w:r>
          </w:p>
        </w:tc>
        <w:tc>
          <w:tcPr>
            <w:tcW w:w="2976" w:type="dxa"/>
          </w:tcPr>
          <w:p w:rsidR="00DE48F6" w:rsidRPr="00AE41F6" w:rsidRDefault="0077731C" w:rsidP="00ED2D43">
            <w:pPr>
              <w:jc w:val="center"/>
              <w:rPr>
                <w:rFonts w:ascii="Palatino Linotype" w:hAnsi="Palatino Linotype" w:cs="Times New Roman"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19200" cy="696970"/>
                  <wp:effectExtent l="0" t="0" r="0" b="8255"/>
                  <wp:docPr id="5" name="Рисунок 5" descr="E:\Публикации\Для статей\Субстраты\Для загрузки\hy-n04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убликации\Для статей\Субстраты\Для загрузки\hy-n0420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0521" b="22314"/>
                          <a:stretch/>
                        </pic:blipFill>
                        <pic:spPr bwMode="auto">
                          <a:xfrm>
                            <a:off x="0" y="0"/>
                            <a:ext cx="1228058" cy="70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2393" w:type="dxa"/>
            <w:vAlign w:val="center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-</w:t>
            </w:r>
          </w:p>
        </w:tc>
      </w:tr>
      <w:tr w:rsidR="00DE48F6" w:rsidRPr="00AE41F6" w:rsidTr="00ED2D43">
        <w:tc>
          <w:tcPr>
            <w:tcW w:w="1809" w:type="dxa"/>
            <w:vAlign w:val="center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proofErr w:type="spellStart"/>
            <w:r w:rsidRPr="00AE41F6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Fumarate</w:t>
            </w:r>
            <w:proofErr w:type="spellEnd"/>
          </w:p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(</w:t>
            </w:r>
            <w:proofErr w:type="spellStart"/>
            <w:r w:rsidRPr="00AE41F6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Fum</w:t>
            </w:r>
            <w:proofErr w:type="spellEnd"/>
            <w:r w:rsidRPr="00AE41F6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)</w:t>
            </w:r>
          </w:p>
        </w:tc>
        <w:tc>
          <w:tcPr>
            <w:tcW w:w="2976" w:type="dxa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noProof/>
                <w:sz w:val="18"/>
                <w:szCs w:val="18"/>
                <w:lang w:eastAsia="ru-RU"/>
              </w:rPr>
            </w:pPr>
            <w:r w:rsidRPr="00AE41F6">
              <w:rPr>
                <w:rFonts w:ascii="Palatino Linotype" w:hAnsi="Palatino Linotype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74750" cy="669964"/>
                  <wp:effectExtent l="0" t="0" r="6350" b="0"/>
                  <wp:docPr id="12" name="Рисунок 2" descr="E:\Публикации\Для статей\Субстраты\Fumaric-acid-2D-skelet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убликации\Для статей\Субстраты\Fumaric-acid-2D-skelet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757" cy="67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2393" w:type="dxa"/>
            <w:vAlign w:val="center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-</w:t>
            </w:r>
          </w:p>
        </w:tc>
        <w:bookmarkStart w:id="0" w:name="_GoBack"/>
        <w:bookmarkEnd w:id="0"/>
      </w:tr>
      <w:tr w:rsidR="00DE48F6" w:rsidRPr="00AE41F6" w:rsidTr="00ED2D43">
        <w:tc>
          <w:tcPr>
            <w:tcW w:w="1809" w:type="dxa"/>
            <w:vAlign w:val="center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sz w:val="18"/>
                <w:szCs w:val="18"/>
              </w:rPr>
              <w:t>Malate</w:t>
            </w:r>
            <w:r w:rsidRPr="00AE41F6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 xml:space="preserve"> </w:t>
            </w:r>
          </w:p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(Mal)</w:t>
            </w:r>
          </w:p>
        </w:tc>
        <w:tc>
          <w:tcPr>
            <w:tcW w:w="2976" w:type="dxa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sz w:val="18"/>
                <w:szCs w:val="18"/>
              </w:rPr>
            </w:pPr>
            <w:r w:rsidRPr="00AE41F6">
              <w:rPr>
                <w:rFonts w:ascii="Palatino Linotype" w:hAnsi="Palatino Linotype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90925" cy="577850"/>
                  <wp:effectExtent l="0" t="0" r="0" b="0"/>
                  <wp:docPr id="13" name="Рисунок 4" descr="E:\Публикации\Для статей\Субстраты\malate3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убликации\Для статей\Субстраты\malate3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431" cy="58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2393" w:type="dxa"/>
            <w:vAlign w:val="center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-</w:t>
            </w:r>
          </w:p>
        </w:tc>
      </w:tr>
      <w:tr w:rsidR="00DE48F6" w:rsidRPr="00AE41F6" w:rsidTr="00ED2D43">
        <w:tc>
          <w:tcPr>
            <w:tcW w:w="1809" w:type="dxa"/>
            <w:vAlign w:val="center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sz w:val="18"/>
                <w:szCs w:val="18"/>
              </w:rPr>
              <w:t xml:space="preserve">2 </w:t>
            </w:r>
            <w:proofErr w:type="spellStart"/>
            <w:r w:rsidRPr="00AE41F6">
              <w:rPr>
                <w:rFonts w:ascii="Palatino Linotype" w:hAnsi="Palatino Linotype" w:cs="Times New Roman"/>
                <w:sz w:val="18"/>
                <w:szCs w:val="18"/>
              </w:rPr>
              <w:t>oxoglutarate</w:t>
            </w:r>
            <w:proofErr w:type="spellEnd"/>
            <w:r w:rsidRPr="00AE41F6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sz w:val="18"/>
                <w:szCs w:val="18"/>
              </w:rPr>
              <w:t>(2-</w:t>
            </w:r>
            <w:r w:rsidRPr="00AE41F6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OG)</w:t>
            </w:r>
          </w:p>
        </w:tc>
        <w:tc>
          <w:tcPr>
            <w:tcW w:w="2976" w:type="dxa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sz w:val="18"/>
                <w:szCs w:val="18"/>
              </w:rPr>
            </w:pPr>
            <w:r w:rsidRPr="00AE41F6">
              <w:rPr>
                <w:rFonts w:ascii="Palatino Linotype" w:hAnsi="Palatino Linotype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03136" cy="590550"/>
                  <wp:effectExtent l="0" t="0" r="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07913" cy="59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2393" w:type="dxa"/>
            <w:vAlign w:val="center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+</w:t>
            </w:r>
          </w:p>
        </w:tc>
      </w:tr>
      <w:tr w:rsidR="00DE48F6" w:rsidRPr="00AE41F6" w:rsidTr="00ED2D43">
        <w:tc>
          <w:tcPr>
            <w:tcW w:w="1809" w:type="dxa"/>
            <w:vAlign w:val="center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proofErr w:type="spellStart"/>
            <w:r w:rsidRPr="00AE41F6">
              <w:rPr>
                <w:rFonts w:ascii="Palatino Linotype" w:hAnsi="Palatino Linotype" w:cs="Times New Roman"/>
                <w:sz w:val="18"/>
                <w:szCs w:val="18"/>
              </w:rPr>
              <w:t>Glutamate</w:t>
            </w:r>
            <w:proofErr w:type="spellEnd"/>
            <w:r w:rsidRPr="00AE41F6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 xml:space="preserve"> </w:t>
            </w:r>
          </w:p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(</w:t>
            </w:r>
            <w:proofErr w:type="spellStart"/>
            <w:r w:rsidRPr="00AE41F6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Glu</w:t>
            </w:r>
            <w:proofErr w:type="spellEnd"/>
            <w:r w:rsidRPr="00AE41F6">
              <w:rPr>
                <w:rFonts w:ascii="Palatino Linotype" w:hAnsi="Palatino Linotype" w:cs="Times New Roman"/>
                <w:sz w:val="18"/>
                <w:szCs w:val="18"/>
                <w:lang w:val="en-US"/>
              </w:rPr>
              <w:t>)</w:t>
            </w:r>
          </w:p>
        </w:tc>
        <w:tc>
          <w:tcPr>
            <w:tcW w:w="2976" w:type="dxa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sz w:val="18"/>
                <w:szCs w:val="18"/>
              </w:rPr>
            </w:pPr>
            <w:r w:rsidRPr="00AE41F6">
              <w:rPr>
                <w:rFonts w:ascii="Palatino Linotype" w:hAnsi="Palatino Linotype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70000" cy="600605"/>
                  <wp:effectExtent l="0" t="0" r="6350" b="9525"/>
                  <wp:docPr id="15" name="Рисунок 6" descr="E:\Публикации\Для статей\Субстраты\Glutaminsäure_-_Glutamic_aci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Публикации\Для статей\Субстраты\Glutaminsäure_-_Glutamic_aci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295" cy="60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2393" w:type="dxa"/>
            <w:vAlign w:val="center"/>
          </w:tcPr>
          <w:p w:rsidR="00DE48F6" w:rsidRPr="00AE41F6" w:rsidRDefault="00DE48F6" w:rsidP="00ED2D43">
            <w:pPr>
              <w:jc w:val="center"/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</w:pPr>
            <w:r w:rsidRPr="00AE41F6">
              <w:rPr>
                <w:rFonts w:ascii="Palatino Linotype" w:hAnsi="Palatino Linotype" w:cs="Times New Roman"/>
                <w:b/>
                <w:sz w:val="18"/>
                <w:szCs w:val="18"/>
                <w:lang w:val="en-US"/>
              </w:rPr>
              <w:t>-</w:t>
            </w:r>
          </w:p>
        </w:tc>
      </w:tr>
    </w:tbl>
    <w:p w:rsidR="00DE48F6" w:rsidRPr="00AE41F6" w:rsidRDefault="00DE48F6" w:rsidP="00DE48F6">
      <w:pPr>
        <w:rPr>
          <w:rFonts w:ascii="Palatino Linotype" w:hAnsi="Palatino Linotype" w:cs="Times New Roman"/>
          <w:sz w:val="18"/>
          <w:szCs w:val="18"/>
          <w:lang w:val="en-US"/>
        </w:rPr>
      </w:pPr>
    </w:p>
    <w:p w:rsidR="00DE48F6" w:rsidRPr="00AE41F6" w:rsidRDefault="00DE48F6" w:rsidP="00DE48F6">
      <w:pPr>
        <w:rPr>
          <w:rFonts w:ascii="Palatino Linotype" w:hAnsi="Palatino Linotype" w:cs="Times New Roman"/>
          <w:sz w:val="18"/>
          <w:szCs w:val="18"/>
          <w:lang w:val="en-US"/>
        </w:rPr>
      </w:pPr>
      <w:r w:rsidRPr="00AE41F6">
        <w:rPr>
          <w:rFonts w:ascii="Palatino Linotype" w:hAnsi="Palatino Linotype" w:cs="Times New Roman"/>
          <w:sz w:val="18"/>
          <w:szCs w:val="18"/>
          <w:lang w:val="en-US"/>
        </w:rPr>
        <w:t>Note: Original representative traces demonstrating the MDCL suppression are shown in Fig. 7.</w:t>
      </w:r>
    </w:p>
    <w:p w:rsidR="00DE48F6" w:rsidRPr="00AE41F6" w:rsidRDefault="00DE48F6" w:rsidP="00DE48F6">
      <w:pPr>
        <w:rPr>
          <w:rFonts w:ascii="Palatino Linotype" w:hAnsi="Palatino Linotype" w:cs="Times New Roman"/>
          <w:sz w:val="18"/>
          <w:szCs w:val="18"/>
          <w:lang w:val="en-US"/>
        </w:rPr>
      </w:pPr>
    </w:p>
    <w:p w:rsidR="00DE48F6" w:rsidRPr="00AE41F6" w:rsidRDefault="00DE48F6" w:rsidP="00DE48F6">
      <w:pPr>
        <w:rPr>
          <w:rFonts w:ascii="Palatino Linotype" w:hAnsi="Palatino Linotype" w:cs="Times New Roman"/>
          <w:sz w:val="18"/>
          <w:szCs w:val="18"/>
          <w:lang w:val="en-US"/>
        </w:rPr>
      </w:pPr>
    </w:p>
    <w:p w:rsidR="00DE48F6" w:rsidRPr="00AE41F6" w:rsidRDefault="00DE48F6">
      <w:pPr>
        <w:rPr>
          <w:rFonts w:ascii="Palatino Linotype" w:hAnsi="Palatino Linotype"/>
          <w:sz w:val="18"/>
          <w:szCs w:val="18"/>
          <w:lang w:val="en-US"/>
        </w:rPr>
      </w:pPr>
    </w:p>
    <w:sectPr w:rsidR="00DE48F6" w:rsidRPr="00AE41F6" w:rsidSect="004A7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proofState w:spelling="clean" w:grammar="clean"/>
  <w:defaultTabStop w:val="708"/>
  <w:characterSpacingControl w:val="doNotCompress"/>
  <w:compat/>
  <w:rsids>
    <w:rsidRoot w:val="00DB2388"/>
    <w:rsid w:val="00051367"/>
    <w:rsid w:val="00055C8B"/>
    <w:rsid w:val="004A7E53"/>
    <w:rsid w:val="0064790E"/>
    <w:rsid w:val="0077731C"/>
    <w:rsid w:val="00AE41F6"/>
    <w:rsid w:val="00DB2388"/>
    <w:rsid w:val="00DE4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E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367"/>
    <w:rPr>
      <w:rFonts w:ascii="Tahoma" w:hAnsi="Tahoma" w:cs="Tahoma"/>
      <w:sz w:val="16"/>
      <w:szCs w:val="16"/>
    </w:rPr>
  </w:style>
  <w:style w:type="character" w:styleId="a5">
    <w:name w:val="Hyperlink"/>
    <w:unhideWhenUsed/>
    <w:rsid w:val="00051367"/>
    <w:rPr>
      <w:color w:val="0000FF"/>
      <w:u w:val="single"/>
    </w:rPr>
  </w:style>
  <w:style w:type="table" w:styleId="a6">
    <w:name w:val="Table Grid"/>
    <w:basedOn w:val="a1"/>
    <w:uiPriority w:val="59"/>
    <w:rsid w:val="00DE4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367"/>
    <w:rPr>
      <w:rFonts w:ascii="Tahoma" w:hAnsi="Tahoma" w:cs="Tahoma"/>
      <w:sz w:val="16"/>
      <w:szCs w:val="16"/>
    </w:rPr>
  </w:style>
  <w:style w:type="character" w:styleId="a5">
    <w:name w:val="Hyperlink"/>
    <w:unhideWhenUsed/>
    <w:rsid w:val="00051367"/>
    <w:rPr>
      <w:color w:val="0000FF"/>
      <w:u w:val="single"/>
    </w:rPr>
  </w:style>
  <w:style w:type="table" w:styleId="a6">
    <w:name w:val="Table Grid"/>
    <w:basedOn w:val="a1"/>
    <w:uiPriority w:val="59"/>
    <w:rsid w:val="00DE4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7.gif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3.tiff"/><Relationship Id="rId12" Type="http://schemas.openxmlformats.org/officeDocument/2006/relationships/image" Target="media/image6.png"/><Relationship Id="rId17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microsoft.com/office/2007/relationships/hdphoto" Target="media/hdphoto1.wdp"/><Relationship Id="rId5" Type="http://schemas.openxmlformats.org/officeDocument/2006/relationships/hyperlink" Target="https://www.sciencedirect.com/topics/agricultural-and-biological-sciences/pyridine-nucleotide" TargetMode="External"/><Relationship Id="rId15" Type="http://schemas.openxmlformats.org/officeDocument/2006/relationships/image" Target="media/image9.png"/><Relationship Id="rId19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Borisovna</dc:creator>
  <cp:keywords/>
  <dc:description/>
  <cp:lastModifiedBy>User</cp:lastModifiedBy>
  <cp:revision>5</cp:revision>
  <dcterms:created xsi:type="dcterms:W3CDTF">2024-09-27T07:08:00Z</dcterms:created>
  <dcterms:modified xsi:type="dcterms:W3CDTF">2024-09-27T08:23:00Z</dcterms:modified>
</cp:coreProperties>
</file>