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60" w:rsidRDefault="00B43960" w:rsidP="00B43960">
      <w:pPr>
        <w:widowControl w:val="0"/>
        <w:autoSpaceDE w:val="0"/>
        <w:autoSpaceDN w:val="0"/>
        <w:adjustRightInd w:val="0"/>
        <w:spacing w:after="0" w:line="360" w:lineRule="auto"/>
        <w:jc w:val="both"/>
        <w:rPr>
          <w:rFonts w:ascii="Arial" w:hAnsi="Arial" w:cs="Arial"/>
          <w:b/>
          <w:sz w:val="28"/>
          <w:szCs w:val="20"/>
          <w:lang w:val="en-US"/>
        </w:rPr>
      </w:pPr>
      <w:r w:rsidRPr="0000394E">
        <w:rPr>
          <w:rFonts w:ascii="Arial" w:hAnsi="Arial" w:cs="Arial"/>
          <w:b/>
          <w:sz w:val="28"/>
          <w:szCs w:val="20"/>
          <w:lang w:val="en-US"/>
        </w:rPr>
        <w:t>Supplementary Material</w:t>
      </w:r>
    </w:p>
    <w:p w:rsidR="00B43960" w:rsidRPr="0000394E" w:rsidRDefault="00B43960" w:rsidP="00B43960">
      <w:pPr>
        <w:spacing w:line="360" w:lineRule="auto"/>
        <w:jc w:val="both"/>
        <w:rPr>
          <w:rFonts w:ascii="Arial" w:hAnsi="Arial" w:cs="Arial"/>
          <w:lang w:val="en-GB"/>
        </w:rPr>
      </w:pPr>
      <w:r w:rsidRPr="0000394E">
        <w:rPr>
          <w:rFonts w:ascii="Arial" w:hAnsi="Arial" w:cs="Arial"/>
          <w:b/>
          <w:lang w:val="en-GB"/>
        </w:rPr>
        <w:t>Table S1</w:t>
      </w:r>
      <w:r w:rsidRPr="0000394E">
        <w:rPr>
          <w:rFonts w:ascii="Arial" w:hAnsi="Arial" w:cs="Arial"/>
          <w:lang w:val="en-GB"/>
        </w:rPr>
        <w:t xml:space="preserve">. Classification of Treg cells based on </w:t>
      </w:r>
      <w:r>
        <w:rPr>
          <w:rFonts w:ascii="Arial" w:hAnsi="Arial" w:cs="Arial"/>
          <w:lang w:val="en-GB"/>
        </w:rPr>
        <w:t xml:space="preserve">the expression of </w:t>
      </w:r>
      <w:r w:rsidRPr="0000394E">
        <w:rPr>
          <w:rFonts w:ascii="Arial" w:hAnsi="Arial" w:cs="Arial"/>
          <w:lang w:val="en-GB"/>
        </w:rPr>
        <w:t xml:space="preserve">biomarkers </w:t>
      </w:r>
      <w:r w:rsidRPr="0000394E">
        <w:rPr>
          <w:rFonts w:ascii="Arial" w:hAnsi="Arial" w:cs="Arial"/>
          <w:sz w:val="24"/>
          <w:szCs w:val="24"/>
          <w:lang w:val="en-GB"/>
        </w:rPr>
        <w:fldChar w:fldCharType="begin" w:fldLock="1"/>
      </w:r>
      <w:r w:rsidRPr="0000394E">
        <w:rPr>
          <w:rFonts w:ascii="Arial" w:hAnsi="Arial" w:cs="Arial"/>
          <w:sz w:val="24"/>
          <w:szCs w:val="24"/>
          <w:lang w:val="en-GB"/>
        </w:rPr>
        <w:instrText>ADDIN CSL_CITATION {"citationItems":[{"id":"ITEM-1","itemData":{"DOI":"10.1084/jem.20060772","ISSN":"1540-9538","PMID":"16818678","abstract":"Regulatory T (T reg) cells are critical regulators of immune tolerance. Most T reg cells are defined based on expression of CD4, CD25, and the transcription factor, FoxP3. However, these markers have proven problematic for uniquely defining this specialized T cell subset in humans. We found that the IL-7 receptor (CD127) is down-regulated on a subset of CD4+ T cells in peripheral blood. We demonstrate that the majority of these cells are FoxP3+, including those that express low levels or no CD25. A combination of CD4, CD25, and CD127 resulted in a highly purified population of T reg cells accounting for significantly more cells that previously identified based on other cell surface markers. These cells were highly suppressive in functional suppressor assays. In fact, cells separated based solely on CD4 and CD127 expression were anergic and, although representing at least three times the number of cells (including both CD25+CD4+ and CD25−CD4+ T cell subsets), were as suppressive as the “classic” CD4+CD25hi T reg cell subset. Finally, we show that CD127 can be used to quantitate T reg cell subsets in individuals with type 1 diabetes supporting the use of CD127 as a biomarker for human T reg cells.","author":[{"dropping-particle":"","family":"Liu","given":"Weihong","non-dropping-particle":"","parse-names":false,"suffix":""},{"dropping-particle":"","family":"Putnam","given":"Amy L.","non-dropping-particle":"","parse-names":false,"suffix":""},{"dropping-particle":"","family":"Xu-yu","given":"Zhou","non-dropping-particle":"","parse-names":false,"suffix":""},{"dropping-particle":"","family":"Szot","given":"Gregory L.","non-dropping-particle":"","parse-names":false,"suffix":""},{"dropping-particle":"","family":"Lee","given":"Michael R.","non-dropping-particle":"","parse-names":false,"suffix":""},{"dropping-particle":"","family":"Zhu","given":"Shirley","non-dropping-particle":"","parse-names":false,"suffix":""},{"dropping-particle":"","family":"Gottlieb","given":"Peter A.","non-dropping-particle":"","parse-names":false,"suffix":""},{"dropping-particle":"","family":"Kapranov","given":"Philipp","non-dropping-particle":"","parse-names":false,"suffix":""},{"dropping-particle":"","family":"Gingeras","given":"Thomas R.","non-dropping-particle":"","parse-names":false,"suffix":""},{"dropping-particle":"","family":"St. Groth","given":"Barbara Fazekas","non-dropping-particle":"de","parse-names":false,"suffix":""},{"dropping-particle":"","family":"Clayberger","given":"Carol","non-dropping-particle":"","parse-names":false,"suffix":""},{"dropping-particle":"","family":"Soper","given":"David M.","non-dropping-particle":"","parse-names":false,"suffix":""},{"dropping-particle":"","family":"Ziegler","given":"Steven F.","non-dropping-particle":"","parse-names":false,"suffix":""},{"dropping-particle":"","family":"Bluestone","given":"Jeffrey A.","non-dropping-particle":"","parse-names":false,"suffix":""}],"container-title":"The Journal of Experimental Medicine","id":"ITEM-1","issue":"7","issued":{"date-parts":[["2006","7","10"]]},"page":"1701-1711","title":"CD127 expression inversely correlates with FoxP3 and suppressive function of human CD4+ T reg cells","type":"article-journal","volume":"203"},"uris":["http://www.mendeley.com/documents/?uuid=cc203642-c7a8-43cc-adf3-d6249ed81505"]},{"id":"ITEM-2","itemData":{"DOI":"10.1016/j.cell.2013.10.054.A","ISBN":"6176321972","ISSN":"15378276","PMID":"1000000221","abstract":"Insufficient sleep and poor quality sleep are pervasive during adolescence and relate to impairments in cognitive control and increased risk taking. However, the neurobiology underlying the association between sleep and adolescent behavior remains elusive. In the current study, we examine how poor sleep quality relates to cognitive control and reward related brain function during risk taking. Forty-six adolescents participated in a functional magnetic imaging (fMRI) scan during which they completed a cognitive control and risk taking task. Behaviorally, adolescents who reported poorer sleep also exhibited greater risk-taking. This association was paralleled by less recruitment of the dorsolateral prefrontal cortex (DLPFC) during cognitive control, greater insula activation during reward processing, and reduced functional coupling between the DLPFC and affective regions including the insula and ventral striatum during reward processing. Collectively, these results suggest that poor sleep may exaggerate the normative imbalance between affective and cognitive control systems, leading to greater risk-taking in adolescents.","author":[{"dropping-particle":"","family":"Hongmei Cao, Rui Yu, Yi Tao, Dejan Nikolic","given":"and Richard B. van Breemen","non-dropping-particle":"","parse-names":false,"suffix":""},{"dropping-particle":"","family":"Jones","given":"R","non-dropping-particle":"","parse-names":false,"suffix":""}],"container-title":"Bone","id":"ITEM-2","issue":"1","issued":{"date-parts":[["2005"]]},"page":"1-7","title":"A Special Population of Regulatory T Cells Potentiates Muscle Repair","type":"article-journal","volume":"23"},"uris":["http://www.mendeley.com/documents/?uuid=40e15e22-2589-4a28-97b4-b49fbc6a98a3","http://www.mendeley.com/documents/?uuid=94be850e-f316-4e6f-9ea1-0de19d705c6c"]},{"id":"ITEM-3","itemData":{"DOI":"10.1038/nm.2002.Fat","ISBN":"9780937040904","abstract":"The bridge element that is the most costly, labor intensive, and places workers at the greatest risk is the bridge deck. In this paper, an innovative precast bridge deck system is presented that removes the need for forming. The novel precast panel is both full and partial depth and extends from the first interior beam until the edge of the overhang. The full depth portion extends for the length of the overhang and terminates in the area of positive moment between exterior beam and the first interior beam. A formless bridge deck is created when this precast overhang panel is used with partial depth precast panels, and a flexible haunch gasket. The focus of this system is to improve safety, simplify field construction, and reduce cost while using a top down construction technique that increases speed of construction and provides a durable product. The paper summarizes the design, full scale load testing, construction, and future innovations of the system.","author":[{"dropping-particle":"","family":"Ley","given":"Tyler","non-dropping-particle":"","parse-names":false,"suffix":""},{"dropping-particle":"","family":"Browne","given":"Ralph","non-dropping-particle":"","parse-names":false,"suffix":""},{"dropping-particle":"","family":"Abrams","given":"Jim","non-dropping-particle":"","parse-names":false,"suffix":""},{"dropping-particle":"","family":"Gonzalez","given":"Ricardo","non-dropping-particle":"","parse-names":false,"suffix":""},{"dropping-particle":"","family":"Bussell","given":"Loyl","non-dropping-particle":"","parse-names":false,"suffix":""},{"dropping-particle":"","family":"Padron","given":"Manuel","non-dropping-particle":"","parse-names":false,"suffix":""},{"dropping-particle":"","family":"Valles","given":"Fred","non-dropping-particle":"","parse-names":false,"suffix":""}],"container-title":"3rd International fib Congress and Exhibition, Incorporating the PCI Annual Convention and Bridge Conference: Think Globally, Build Locally, Proceedings","id":"ITEM-3","issue":"8","issued":{"date-parts":[["2010"]]},"page":"930-939","title":"The development and implementation of a precast bridge deck overhang system","type":"article-journal","volume":"15"},"uris":["http://www.mendeley.com/documents/?uuid=41e1fb79-12dc-4c3a-a75e-a321f2765aec","http://www.mendeley.com/documents/?uuid=8ad6af29-060e-40e9-8c93-c99b9f87791c"]}],"mendeley":{"formattedCitation":"[1–3]","plainTextFormattedCitation":"[1–3]","previouslyFormattedCitation":"[1–3]"},"properties":{"noteIndex":0},"schema":"https://github.com/citation-style-language/schema/raw/master/csl-citation.json"}</w:instrText>
      </w:r>
      <w:r w:rsidRPr="0000394E">
        <w:rPr>
          <w:rFonts w:ascii="Arial" w:hAnsi="Arial" w:cs="Arial"/>
          <w:sz w:val="24"/>
          <w:szCs w:val="24"/>
          <w:lang w:val="en-GB"/>
        </w:rPr>
        <w:fldChar w:fldCharType="separate"/>
      </w:r>
      <w:r w:rsidRPr="0000394E">
        <w:rPr>
          <w:rFonts w:ascii="Arial" w:hAnsi="Arial" w:cs="Arial"/>
          <w:noProof/>
          <w:sz w:val="24"/>
          <w:szCs w:val="24"/>
          <w:lang w:val="en-GB"/>
        </w:rPr>
        <w:t>[1–3]</w:t>
      </w:r>
      <w:r w:rsidRPr="0000394E">
        <w:rPr>
          <w:rFonts w:ascii="Arial" w:hAnsi="Arial" w:cs="Arial"/>
          <w:sz w:val="24"/>
          <w:szCs w:val="24"/>
          <w:lang w:val="en-GB"/>
        </w:rPr>
        <w:fldChar w:fldCharType="end"/>
      </w:r>
      <w:r w:rsidRPr="0000394E">
        <w:rPr>
          <w:rFonts w:ascii="Arial" w:hAnsi="Arial" w:cs="Arial"/>
          <w:sz w:val="24"/>
          <w:szCs w:val="24"/>
          <w:lang w:val="en-GB"/>
        </w:rPr>
        <w:t>.</w:t>
      </w:r>
    </w:p>
    <w:tbl>
      <w:tblPr>
        <w:tblW w:w="5000" w:type="pct"/>
        <w:tblCellMar>
          <w:left w:w="0" w:type="dxa"/>
          <w:right w:w="0" w:type="dxa"/>
        </w:tblCellMar>
        <w:tblLook w:val="0420" w:firstRow="1" w:lastRow="0" w:firstColumn="0" w:lastColumn="0" w:noHBand="0" w:noVBand="1"/>
      </w:tblPr>
      <w:tblGrid>
        <w:gridCol w:w="998"/>
        <w:gridCol w:w="2997"/>
        <w:gridCol w:w="1449"/>
        <w:gridCol w:w="3014"/>
      </w:tblGrid>
      <w:tr w:rsidR="00B43960" w:rsidRPr="0000394E" w:rsidTr="007A3FBE">
        <w:trPr>
          <w:trHeight w:val="170"/>
        </w:trPr>
        <w:tc>
          <w:tcPr>
            <w:tcW w:w="590" w:type="pct"/>
            <w:tcBorders>
              <w:top w:val="single" w:sz="18" w:space="0" w:color="auto"/>
              <w:left w:val="single" w:sz="18" w:space="0" w:color="auto"/>
              <w:bottom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b/>
              </w:rPr>
            </w:pPr>
            <w:r w:rsidRPr="0000394E">
              <w:rPr>
                <w:rFonts w:ascii="Arial" w:hAnsi="Arial" w:cs="Arial"/>
                <w:b/>
                <w:bCs/>
                <w:lang w:val="en-GB"/>
              </w:rPr>
              <w:t>Treg cell subset</w:t>
            </w:r>
          </w:p>
        </w:tc>
        <w:tc>
          <w:tcPr>
            <w:tcW w:w="1782" w:type="pct"/>
            <w:tcBorders>
              <w:top w:val="single" w:sz="18" w:space="0" w:color="auto"/>
              <w:bottom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b/>
              </w:rPr>
            </w:pPr>
            <w:r w:rsidRPr="0000394E">
              <w:rPr>
                <w:rFonts w:ascii="Arial" w:hAnsi="Arial" w:cs="Arial"/>
                <w:b/>
                <w:bCs/>
                <w:lang w:val="en-GB"/>
              </w:rPr>
              <w:t>Immune profile</w:t>
            </w:r>
          </w:p>
        </w:tc>
        <w:tc>
          <w:tcPr>
            <w:tcW w:w="836" w:type="pct"/>
            <w:tcBorders>
              <w:top w:val="single" w:sz="18" w:space="0" w:color="auto"/>
              <w:bottom w:val="single" w:sz="18" w:space="0" w:color="auto"/>
            </w:tcBorders>
            <w:shd w:val="clear" w:color="auto" w:fill="FFFFFF"/>
            <w:tcMar>
              <w:top w:w="72" w:type="dxa"/>
              <w:left w:w="144" w:type="dxa"/>
              <w:bottom w:w="72" w:type="dxa"/>
              <w:right w:w="144" w:type="dxa"/>
            </w:tcMar>
            <w:vAlign w:val="center"/>
            <w:hideMark/>
          </w:tcPr>
          <w:p w:rsidR="00B43960" w:rsidRDefault="00B43960" w:rsidP="007A3FBE">
            <w:pPr>
              <w:spacing w:after="0" w:line="240" w:lineRule="auto"/>
              <w:jc w:val="center"/>
              <w:rPr>
                <w:rFonts w:ascii="Arial" w:hAnsi="Arial" w:cs="Arial"/>
                <w:b/>
                <w:bCs/>
                <w:lang w:val="en-GB"/>
              </w:rPr>
            </w:pPr>
            <w:r w:rsidRPr="0000394E">
              <w:rPr>
                <w:rFonts w:ascii="Arial" w:hAnsi="Arial" w:cs="Arial"/>
                <w:b/>
                <w:bCs/>
                <w:lang w:val="en-GB"/>
              </w:rPr>
              <w:t>Immune response</w:t>
            </w:r>
          </w:p>
          <w:p w:rsidR="00B43960" w:rsidRPr="0000394E" w:rsidRDefault="00B43960" w:rsidP="007A3FBE">
            <w:pPr>
              <w:spacing w:after="0" w:line="240" w:lineRule="auto"/>
              <w:jc w:val="center"/>
              <w:rPr>
                <w:rFonts w:ascii="Arial" w:hAnsi="Arial" w:cs="Arial"/>
                <w:b/>
              </w:rPr>
            </w:pPr>
            <w:r>
              <w:rPr>
                <w:rFonts w:ascii="Arial" w:hAnsi="Arial" w:cs="Arial"/>
                <w:b/>
                <w:bCs/>
                <w:lang w:val="en-GB"/>
              </w:rPr>
              <w:t>(antitumor)</w:t>
            </w:r>
          </w:p>
        </w:tc>
        <w:tc>
          <w:tcPr>
            <w:tcW w:w="1792" w:type="pct"/>
            <w:tcBorders>
              <w:top w:val="single" w:sz="18" w:space="0" w:color="auto"/>
              <w:bottom w:val="single" w:sz="18" w:space="0" w:color="auto"/>
              <w:right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b/>
              </w:rPr>
            </w:pPr>
            <w:r w:rsidRPr="0000394E">
              <w:rPr>
                <w:rFonts w:ascii="Arial" w:hAnsi="Arial" w:cs="Arial"/>
                <w:b/>
                <w:bCs/>
                <w:lang w:val="en-GB"/>
              </w:rPr>
              <w:t>Mechanism of action</w:t>
            </w:r>
          </w:p>
        </w:tc>
      </w:tr>
      <w:tr w:rsidR="00B43960" w:rsidRPr="00C408DB" w:rsidTr="007A3FBE">
        <w:trPr>
          <w:trHeight w:val="170"/>
        </w:trPr>
        <w:tc>
          <w:tcPr>
            <w:tcW w:w="590" w:type="pct"/>
            <w:tcBorders>
              <w:top w:val="single" w:sz="18" w:space="0" w:color="auto"/>
              <w:left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rPr>
                <w:rFonts w:ascii="Arial" w:hAnsi="Arial" w:cs="Arial"/>
              </w:rPr>
            </w:pPr>
            <w:r w:rsidRPr="0000394E">
              <w:rPr>
                <w:rFonts w:ascii="Arial" w:hAnsi="Arial" w:cs="Arial"/>
                <w:lang w:val="en-GB"/>
              </w:rPr>
              <w:t>Non-Treg</w:t>
            </w:r>
          </w:p>
        </w:tc>
        <w:tc>
          <w:tcPr>
            <w:tcW w:w="1782" w:type="pct"/>
            <w:tcBorders>
              <w:top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rPr>
            </w:pPr>
            <w:r w:rsidRPr="0000394E">
              <w:rPr>
                <w:rFonts w:ascii="Arial" w:hAnsi="Arial" w:cs="Arial"/>
                <w:i/>
                <w:iCs/>
                <w:lang w:val="en-GB"/>
              </w:rPr>
              <w:t>CD25</w:t>
            </w:r>
            <w:r w:rsidRPr="0000394E">
              <w:rPr>
                <w:rFonts w:ascii="Arial" w:hAnsi="Arial" w:cs="Arial"/>
                <w:i/>
                <w:iCs/>
                <w:vertAlign w:val="superscript"/>
                <w:lang w:val="en-GB"/>
              </w:rPr>
              <w:t>lo</w:t>
            </w:r>
            <w:r>
              <w:rPr>
                <w:rFonts w:ascii="Arial" w:hAnsi="Arial" w:cs="Arial"/>
                <w:i/>
                <w:iCs/>
                <w:vertAlign w:val="superscript"/>
                <w:lang w:val="en-GB"/>
              </w:rPr>
              <w:t>w</w:t>
            </w:r>
            <w:r w:rsidRPr="0000394E">
              <w:rPr>
                <w:rFonts w:ascii="Arial" w:hAnsi="Arial" w:cs="Arial"/>
                <w:i/>
                <w:iCs/>
                <w:lang w:val="en-GB"/>
              </w:rPr>
              <w:t>CD45RA</w:t>
            </w:r>
            <w:r>
              <w:rPr>
                <w:rFonts w:ascii="Arial" w:hAnsi="Arial" w:cs="Arial"/>
                <w:i/>
                <w:iCs/>
                <w:vertAlign w:val="superscript"/>
                <w:lang w:val="en-GB"/>
              </w:rPr>
              <w:t>−</w:t>
            </w:r>
            <w:r w:rsidRPr="0000394E">
              <w:rPr>
                <w:rFonts w:ascii="Arial" w:hAnsi="Arial" w:cs="Arial"/>
                <w:i/>
                <w:iCs/>
                <w:lang w:val="en-GB"/>
              </w:rPr>
              <w:t>FOXP3</w:t>
            </w:r>
            <w:r w:rsidRPr="0000394E">
              <w:rPr>
                <w:rFonts w:ascii="Arial" w:hAnsi="Arial" w:cs="Arial"/>
                <w:i/>
                <w:iCs/>
                <w:vertAlign w:val="superscript"/>
                <w:lang w:val="en-GB"/>
              </w:rPr>
              <w:t>lo</w:t>
            </w:r>
            <w:r>
              <w:rPr>
                <w:rFonts w:ascii="Arial" w:hAnsi="Arial" w:cs="Arial"/>
                <w:i/>
                <w:iCs/>
                <w:vertAlign w:val="superscript"/>
                <w:lang w:val="en-GB"/>
              </w:rPr>
              <w:t>w</w:t>
            </w:r>
          </w:p>
        </w:tc>
        <w:tc>
          <w:tcPr>
            <w:tcW w:w="836" w:type="pct"/>
            <w:tcBorders>
              <w:top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rPr>
            </w:pPr>
            <w:r w:rsidRPr="0000394E">
              <w:rPr>
                <w:rFonts w:ascii="Arial" w:hAnsi="Arial" w:cs="Arial"/>
                <w:lang w:val="en-GB"/>
              </w:rPr>
              <w:t>Activator</w:t>
            </w:r>
          </w:p>
        </w:tc>
        <w:tc>
          <w:tcPr>
            <w:tcW w:w="1792" w:type="pct"/>
            <w:tcBorders>
              <w:top w:val="single" w:sz="18" w:space="0" w:color="auto"/>
              <w:right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both"/>
              <w:rPr>
                <w:rFonts w:ascii="Arial" w:hAnsi="Arial" w:cs="Arial"/>
                <w:lang w:val="en-GB"/>
              </w:rPr>
            </w:pPr>
            <w:r>
              <w:rPr>
                <w:rFonts w:ascii="Arial" w:hAnsi="Arial" w:cs="Arial"/>
                <w:lang w:val="en-GB"/>
              </w:rPr>
              <w:t>Activated e</w:t>
            </w:r>
            <w:r w:rsidRPr="0000394E">
              <w:rPr>
                <w:rFonts w:ascii="Arial" w:hAnsi="Arial" w:cs="Arial"/>
                <w:lang w:val="en-GB"/>
              </w:rPr>
              <w:t xml:space="preserve">ffector T cells </w:t>
            </w:r>
            <w:r>
              <w:rPr>
                <w:rFonts w:ascii="Arial" w:hAnsi="Arial" w:cs="Arial"/>
                <w:lang w:val="en-GB"/>
              </w:rPr>
              <w:t>expressing</w:t>
            </w:r>
            <w:r w:rsidRPr="0000394E">
              <w:rPr>
                <w:rFonts w:ascii="Arial" w:hAnsi="Arial" w:cs="Arial"/>
                <w:lang w:val="en-GB"/>
              </w:rPr>
              <w:t xml:space="preserve"> transient</w:t>
            </w:r>
            <w:r>
              <w:rPr>
                <w:rFonts w:ascii="Arial" w:hAnsi="Arial" w:cs="Arial"/>
                <w:lang w:val="en-GB"/>
              </w:rPr>
              <w:t>ly</w:t>
            </w:r>
            <w:r w:rsidRPr="0000394E">
              <w:rPr>
                <w:rFonts w:ascii="Arial" w:hAnsi="Arial" w:cs="Arial"/>
                <w:lang w:val="en-GB"/>
              </w:rPr>
              <w:t xml:space="preserve"> </w:t>
            </w:r>
            <w:r>
              <w:rPr>
                <w:rFonts w:ascii="Arial" w:hAnsi="Arial" w:cs="Arial"/>
                <w:lang w:val="en-GB"/>
              </w:rPr>
              <w:t>CD25 and Foxp3</w:t>
            </w:r>
            <w:r w:rsidRPr="0000394E">
              <w:rPr>
                <w:rFonts w:ascii="Arial" w:hAnsi="Arial" w:cs="Arial"/>
                <w:lang w:val="en-GB"/>
              </w:rPr>
              <w:t>.</w:t>
            </w:r>
          </w:p>
        </w:tc>
      </w:tr>
      <w:tr w:rsidR="00B43960" w:rsidRPr="00C408DB" w:rsidTr="007A3FBE">
        <w:trPr>
          <w:trHeight w:val="170"/>
        </w:trPr>
        <w:tc>
          <w:tcPr>
            <w:tcW w:w="590" w:type="pct"/>
            <w:tcBorders>
              <w:left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rPr>
                <w:rFonts w:ascii="Arial" w:hAnsi="Arial" w:cs="Arial"/>
              </w:rPr>
            </w:pPr>
            <w:r>
              <w:rPr>
                <w:rFonts w:ascii="Arial" w:hAnsi="Arial" w:cs="Arial"/>
                <w:lang w:val="en-GB"/>
              </w:rPr>
              <w:t>Nai</w:t>
            </w:r>
            <w:r w:rsidRPr="0000394E">
              <w:rPr>
                <w:rFonts w:ascii="Arial" w:hAnsi="Arial" w:cs="Arial"/>
                <w:lang w:val="en-GB"/>
              </w:rPr>
              <w:t>ve Treg</w:t>
            </w:r>
          </w:p>
        </w:tc>
        <w:tc>
          <w:tcPr>
            <w:tcW w:w="1782" w:type="pct"/>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rPr>
            </w:pPr>
            <w:r w:rsidRPr="0000394E">
              <w:rPr>
                <w:rFonts w:ascii="Arial" w:hAnsi="Arial" w:cs="Arial"/>
                <w:i/>
                <w:iCs/>
                <w:lang w:val="en-GB"/>
              </w:rPr>
              <w:t>CD25</w:t>
            </w:r>
            <w:r w:rsidRPr="0000394E">
              <w:rPr>
                <w:rFonts w:ascii="Arial" w:hAnsi="Arial" w:cs="Arial"/>
                <w:i/>
                <w:iCs/>
                <w:vertAlign w:val="superscript"/>
                <w:lang w:val="en-GB"/>
              </w:rPr>
              <w:t>lo</w:t>
            </w:r>
            <w:r>
              <w:rPr>
                <w:rFonts w:ascii="Arial" w:hAnsi="Arial" w:cs="Arial"/>
                <w:i/>
                <w:iCs/>
                <w:vertAlign w:val="superscript"/>
                <w:lang w:val="en-GB"/>
              </w:rPr>
              <w:t>w</w:t>
            </w:r>
            <w:r w:rsidRPr="0000394E">
              <w:rPr>
                <w:rFonts w:ascii="Arial" w:hAnsi="Arial" w:cs="Arial"/>
                <w:i/>
                <w:iCs/>
                <w:lang w:val="en-GB"/>
              </w:rPr>
              <w:t>CD45RA</w:t>
            </w:r>
            <w:r w:rsidRPr="0000394E">
              <w:rPr>
                <w:rFonts w:ascii="Arial" w:hAnsi="Arial" w:cs="Arial"/>
                <w:i/>
                <w:iCs/>
                <w:vertAlign w:val="superscript"/>
                <w:lang w:val="en-GB"/>
              </w:rPr>
              <w:t>+</w:t>
            </w:r>
            <w:r w:rsidRPr="0000394E">
              <w:rPr>
                <w:rFonts w:ascii="Arial" w:hAnsi="Arial" w:cs="Arial"/>
                <w:i/>
                <w:iCs/>
                <w:lang w:val="en-GB"/>
              </w:rPr>
              <w:t>FOXP3</w:t>
            </w:r>
            <w:r w:rsidRPr="0000394E">
              <w:rPr>
                <w:rFonts w:ascii="Arial" w:hAnsi="Arial" w:cs="Arial"/>
                <w:i/>
                <w:iCs/>
                <w:vertAlign w:val="superscript"/>
                <w:lang w:val="en-GB"/>
              </w:rPr>
              <w:t>lo</w:t>
            </w:r>
            <w:r>
              <w:rPr>
                <w:rFonts w:ascii="Arial" w:hAnsi="Arial" w:cs="Arial"/>
                <w:i/>
                <w:iCs/>
                <w:vertAlign w:val="superscript"/>
                <w:lang w:val="en-GB"/>
              </w:rPr>
              <w:t>w</w:t>
            </w:r>
          </w:p>
        </w:tc>
        <w:tc>
          <w:tcPr>
            <w:tcW w:w="836" w:type="pct"/>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rPr>
            </w:pPr>
            <w:r w:rsidRPr="0000394E">
              <w:rPr>
                <w:rFonts w:ascii="Arial" w:hAnsi="Arial" w:cs="Arial"/>
                <w:lang w:val="en-GB"/>
              </w:rPr>
              <w:t>None</w:t>
            </w:r>
          </w:p>
        </w:tc>
        <w:tc>
          <w:tcPr>
            <w:tcW w:w="1792" w:type="pct"/>
            <w:tcBorders>
              <w:right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both"/>
              <w:rPr>
                <w:rFonts w:ascii="Arial" w:hAnsi="Arial" w:cs="Arial"/>
                <w:lang w:val="en-GB"/>
              </w:rPr>
            </w:pPr>
            <w:r>
              <w:rPr>
                <w:rFonts w:ascii="Arial" w:hAnsi="Arial" w:cs="Arial"/>
                <w:lang w:val="en-GB"/>
              </w:rPr>
              <w:t>Naive</w:t>
            </w:r>
            <w:r w:rsidRPr="0000394E">
              <w:rPr>
                <w:rFonts w:ascii="Arial" w:hAnsi="Arial" w:cs="Arial"/>
                <w:lang w:val="en-GB"/>
              </w:rPr>
              <w:t xml:space="preserve"> without activation and/or differentiation.</w:t>
            </w:r>
          </w:p>
        </w:tc>
      </w:tr>
      <w:tr w:rsidR="00B43960" w:rsidRPr="00C408DB" w:rsidTr="007A3FBE">
        <w:trPr>
          <w:trHeight w:val="170"/>
        </w:trPr>
        <w:tc>
          <w:tcPr>
            <w:tcW w:w="590" w:type="pct"/>
            <w:vMerge w:val="restart"/>
            <w:tcBorders>
              <w:left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rPr>
                <w:rFonts w:ascii="Arial" w:hAnsi="Arial" w:cs="Arial"/>
              </w:rPr>
            </w:pPr>
            <w:r w:rsidRPr="0000394E">
              <w:rPr>
                <w:rFonts w:ascii="Arial" w:hAnsi="Arial" w:cs="Arial"/>
                <w:lang w:val="en-GB"/>
              </w:rPr>
              <w:t>iTreg</w:t>
            </w:r>
          </w:p>
        </w:tc>
        <w:tc>
          <w:tcPr>
            <w:tcW w:w="1782" w:type="pct"/>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rPr>
            </w:pPr>
            <w:r w:rsidRPr="0000394E">
              <w:rPr>
                <w:rFonts w:ascii="Arial" w:hAnsi="Arial" w:cs="Arial"/>
                <w:i/>
                <w:iCs/>
                <w:lang w:val="en-GB"/>
              </w:rPr>
              <w:t>CCR4</w:t>
            </w:r>
            <w:r w:rsidRPr="0000394E">
              <w:rPr>
                <w:rFonts w:ascii="Arial" w:hAnsi="Arial" w:cs="Arial"/>
                <w:i/>
                <w:iCs/>
                <w:vertAlign w:val="superscript"/>
                <w:lang w:val="en-GB"/>
              </w:rPr>
              <w:t>+</w:t>
            </w:r>
            <w:r w:rsidRPr="0000394E">
              <w:rPr>
                <w:rFonts w:ascii="Arial" w:hAnsi="Arial" w:cs="Arial"/>
                <w:i/>
                <w:iCs/>
                <w:lang w:val="en-GB"/>
              </w:rPr>
              <w:t>CCR8</w:t>
            </w:r>
            <w:r w:rsidRPr="0000394E">
              <w:rPr>
                <w:rFonts w:ascii="Arial" w:hAnsi="Arial" w:cs="Arial"/>
                <w:i/>
                <w:iCs/>
                <w:vertAlign w:val="superscript"/>
                <w:lang w:val="en-GB"/>
              </w:rPr>
              <w:t>+</w:t>
            </w:r>
            <w:r w:rsidRPr="0000394E">
              <w:rPr>
                <w:rFonts w:ascii="Arial" w:hAnsi="Arial" w:cs="Arial"/>
                <w:i/>
                <w:iCs/>
                <w:lang w:val="en-GB"/>
              </w:rPr>
              <w:t>FOXP3</w:t>
            </w:r>
            <w:r w:rsidRPr="0000394E">
              <w:rPr>
                <w:rFonts w:ascii="Arial" w:hAnsi="Arial" w:cs="Arial"/>
                <w:i/>
                <w:iCs/>
                <w:vertAlign w:val="superscript"/>
                <w:lang w:val="en-GB"/>
              </w:rPr>
              <w:t>hi</w:t>
            </w:r>
          </w:p>
        </w:tc>
        <w:tc>
          <w:tcPr>
            <w:tcW w:w="836" w:type="pct"/>
            <w:vMerge w:val="restart"/>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rPr>
            </w:pPr>
            <w:r w:rsidRPr="0000394E">
              <w:rPr>
                <w:rFonts w:ascii="Arial" w:hAnsi="Arial" w:cs="Arial"/>
                <w:lang w:val="en-GB"/>
              </w:rPr>
              <w:t>Suppressor</w:t>
            </w:r>
          </w:p>
        </w:tc>
        <w:tc>
          <w:tcPr>
            <w:tcW w:w="1792" w:type="pct"/>
            <w:tcBorders>
              <w:right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both"/>
              <w:rPr>
                <w:rFonts w:ascii="Arial" w:hAnsi="Arial" w:cs="Arial"/>
                <w:lang w:val="en-GB"/>
              </w:rPr>
            </w:pPr>
            <w:r w:rsidRPr="00716E0C">
              <w:rPr>
                <w:rFonts w:ascii="Arial" w:hAnsi="Arial" w:cs="Arial"/>
                <w:lang w:val="en-US"/>
              </w:rPr>
              <w:t>T</w:t>
            </w:r>
            <w:r>
              <w:rPr>
                <w:rFonts w:ascii="Arial" w:hAnsi="Arial" w:cs="Arial"/>
                <w:lang w:val="en-US"/>
              </w:rPr>
              <w:t>umor-infiltrating Treg promoted by chemokine pathway activation.</w:t>
            </w:r>
          </w:p>
        </w:tc>
      </w:tr>
      <w:tr w:rsidR="00B43960" w:rsidRPr="00C408DB" w:rsidTr="007A3FBE">
        <w:trPr>
          <w:trHeight w:val="170"/>
        </w:trPr>
        <w:tc>
          <w:tcPr>
            <w:tcW w:w="590" w:type="pct"/>
            <w:vMerge/>
            <w:tcBorders>
              <w:left w:val="single" w:sz="18" w:space="0" w:color="auto"/>
            </w:tcBorders>
            <w:shd w:val="clear" w:color="auto" w:fill="FFFFFF"/>
            <w:tcMar>
              <w:top w:w="72" w:type="dxa"/>
              <w:left w:w="144" w:type="dxa"/>
              <w:bottom w:w="72" w:type="dxa"/>
              <w:right w:w="144" w:type="dxa"/>
            </w:tcMar>
            <w:vAlign w:val="center"/>
          </w:tcPr>
          <w:p w:rsidR="00B43960" w:rsidRPr="0000394E" w:rsidRDefault="00B43960" w:rsidP="007A3FBE">
            <w:pPr>
              <w:spacing w:after="0" w:line="240" w:lineRule="auto"/>
              <w:rPr>
                <w:rFonts w:ascii="Arial" w:hAnsi="Arial" w:cs="Arial"/>
                <w:lang w:val="en-GB"/>
              </w:rPr>
            </w:pPr>
          </w:p>
        </w:tc>
        <w:tc>
          <w:tcPr>
            <w:tcW w:w="1782" w:type="pct"/>
            <w:shd w:val="clear" w:color="auto" w:fill="FFFFFF"/>
            <w:tcMar>
              <w:top w:w="72" w:type="dxa"/>
              <w:left w:w="144" w:type="dxa"/>
              <w:bottom w:w="72" w:type="dxa"/>
              <w:right w:w="144" w:type="dxa"/>
            </w:tcMar>
            <w:vAlign w:val="center"/>
          </w:tcPr>
          <w:p w:rsidR="00B43960" w:rsidRPr="0000394E" w:rsidRDefault="00B43960" w:rsidP="007A3FBE">
            <w:pPr>
              <w:spacing w:after="0" w:line="240" w:lineRule="auto"/>
              <w:jc w:val="center"/>
              <w:rPr>
                <w:rFonts w:ascii="Arial" w:hAnsi="Arial" w:cs="Arial"/>
                <w:i/>
                <w:iCs/>
                <w:lang w:val="en-GB"/>
              </w:rPr>
            </w:pPr>
            <w:r w:rsidRPr="0000394E">
              <w:rPr>
                <w:rFonts w:ascii="Arial" w:hAnsi="Arial" w:cs="Arial"/>
                <w:i/>
                <w:iCs/>
                <w:lang w:val="en-GB"/>
              </w:rPr>
              <w:t>CD4</w:t>
            </w:r>
            <w:r w:rsidRPr="00F44444">
              <w:rPr>
                <w:rFonts w:ascii="Arial" w:hAnsi="Arial" w:cs="Arial"/>
                <w:i/>
                <w:iCs/>
                <w:vertAlign w:val="superscript"/>
                <w:lang w:val="en-GB"/>
              </w:rPr>
              <w:t>+</w:t>
            </w:r>
            <w:r w:rsidRPr="0000394E">
              <w:rPr>
                <w:rFonts w:ascii="Arial" w:hAnsi="Arial" w:cs="Arial"/>
                <w:i/>
                <w:iCs/>
                <w:lang w:val="en-GB"/>
              </w:rPr>
              <w:t>CD25</w:t>
            </w:r>
            <w:r w:rsidRPr="00F44444">
              <w:rPr>
                <w:rFonts w:ascii="Arial" w:hAnsi="Arial" w:cs="Arial"/>
                <w:i/>
                <w:iCs/>
                <w:vertAlign w:val="superscript"/>
                <w:lang w:val="en-GB"/>
              </w:rPr>
              <w:t>+</w:t>
            </w:r>
            <w:r w:rsidRPr="0000394E">
              <w:rPr>
                <w:rFonts w:ascii="Arial" w:hAnsi="Arial" w:cs="Arial"/>
                <w:i/>
                <w:iCs/>
                <w:lang w:val="en-GB"/>
              </w:rPr>
              <w:t>CTLA</w:t>
            </w:r>
            <w:r>
              <w:rPr>
                <w:rFonts w:ascii="Arial" w:hAnsi="Arial" w:cs="Arial"/>
                <w:i/>
                <w:iCs/>
                <w:lang w:val="en-GB"/>
              </w:rPr>
              <w:t>-</w:t>
            </w:r>
            <w:r w:rsidRPr="0000394E">
              <w:rPr>
                <w:rFonts w:ascii="Arial" w:hAnsi="Arial" w:cs="Arial"/>
                <w:i/>
                <w:iCs/>
                <w:lang w:val="en-GB"/>
              </w:rPr>
              <w:t>4</w:t>
            </w:r>
            <w:r w:rsidRPr="00F44444">
              <w:rPr>
                <w:rFonts w:ascii="Arial" w:hAnsi="Arial" w:cs="Arial"/>
                <w:i/>
                <w:iCs/>
                <w:vertAlign w:val="superscript"/>
                <w:lang w:val="en-GB"/>
              </w:rPr>
              <w:t>+</w:t>
            </w:r>
            <w:r w:rsidRPr="0000394E">
              <w:rPr>
                <w:rFonts w:ascii="Arial" w:hAnsi="Arial" w:cs="Arial"/>
                <w:i/>
                <w:iCs/>
                <w:lang w:val="en-GB"/>
              </w:rPr>
              <w:t>GITR</w:t>
            </w:r>
            <w:r w:rsidRPr="00F44444">
              <w:rPr>
                <w:rFonts w:ascii="Arial" w:hAnsi="Arial" w:cs="Arial"/>
                <w:i/>
                <w:iCs/>
                <w:vertAlign w:val="superscript"/>
                <w:lang w:val="en-GB"/>
              </w:rPr>
              <w:t>+</w:t>
            </w:r>
          </w:p>
        </w:tc>
        <w:tc>
          <w:tcPr>
            <w:tcW w:w="836" w:type="pct"/>
            <w:vMerge/>
            <w:shd w:val="clear" w:color="auto" w:fill="FFFFFF"/>
            <w:tcMar>
              <w:top w:w="72" w:type="dxa"/>
              <w:left w:w="144" w:type="dxa"/>
              <w:bottom w:w="72" w:type="dxa"/>
              <w:right w:w="144" w:type="dxa"/>
            </w:tcMar>
            <w:vAlign w:val="center"/>
          </w:tcPr>
          <w:p w:rsidR="00B43960" w:rsidRPr="0000394E" w:rsidRDefault="00B43960" w:rsidP="007A3FBE">
            <w:pPr>
              <w:spacing w:after="0" w:line="240" w:lineRule="auto"/>
              <w:jc w:val="center"/>
              <w:rPr>
                <w:rFonts w:ascii="Arial" w:hAnsi="Arial" w:cs="Arial"/>
                <w:lang w:val="en-GB"/>
              </w:rPr>
            </w:pPr>
          </w:p>
        </w:tc>
        <w:tc>
          <w:tcPr>
            <w:tcW w:w="1792" w:type="pct"/>
            <w:tcBorders>
              <w:right w:val="single" w:sz="18" w:space="0" w:color="auto"/>
            </w:tcBorders>
            <w:shd w:val="clear" w:color="auto" w:fill="FFFFFF"/>
            <w:tcMar>
              <w:top w:w="72" w:type="dxa"/>
              <w:left w:w="144" w:type="dxa"/>
              <w:bottom w:w="72" w:type="dxa"/>
              <w:right w:w="144" w:type="dxa"/>
            </w:tcMar>
            <w:vAlign w:val="center"/>
          </w:tcPr>
          <w:p w:rsidR="00B43960" w:rsidRPr="0000394E" w:rsidRDefault="00B43960" w:rsidP="007A3FBE">
            <w:pPr>
              <w:spacing w:after="0" w:line="240" w:lineRule="auto"/>
              <w:jc w:val="both"/>
              <w:rPr>
                <w:rFonts w:ascii="Arial" w:hAnsi="Arial" w:cs="Arial"/>
                <w:lang w:val="en-GB"/>
              </w:rPr>
            </w:pPr>
            <w:r>
              <w:rPr>
                <w:rFonts w:ascii="Arial" w:hAnsi="Arial" w:cs="Arial"/>
                <w:lang w:val="en-GB"/>
              </w:rPr>
              <w:t>Treg high</w:t>
            </w:r>
            <w:r w:rsidRPr="0000394E">
              <w:rPr>
                <w:rFonts w:ascii="Arial" w:hAnsi="Arial" w:cs="Arial"/>
                <w:lang w:val="en-GB"/>
              </w:rPr>
              <w:t xml:space="preserve">ly </w:t>
            </w:r>
            <w:r>
              <w:rPr>
                <w:rFonts w:ascii="Arial" w:hAnsi="Arial" w:cs="Arial"/>
                <w:lang w:val="en-GB"/>
              </w:rPr>
              <w:t>immune-</w:t>
            </w:r>
            <w:r w:rsidRPr="0000394E">
              <w:rPr>
                <w:rFonts w:ascii="Arial" w:hAnsi="Arial" w:cs="Arial"/>
                <w:lang w:val="en-GB"/>
              </w:rPr>
              <w:t>suppressive</w:t>
            </w:r>
            <w:r>
              <w:rPr>
                <w:rFonts w:ascii="Arial" w:hAnsi="Arial" w:cs="Arial"/>
                <w:lang w:val="en-GB"/>
              </w:rPr>
              <w:t xml:space="preserve"> activity into TME.</w:t>
            </w:r>
          </w:p>
        </w:tc>
      </w:tr>
      <w:tr w:rsidR="00B43960" w:rsidRPr="00C408DB" w:rsidTr="007A3FBE">
        <w:trPr>
          <w:trHeight w:val="170"/>
        </w:trPr>
        <w:tc>
          <w:tcPr>
            <w:tcW w:w="590" w:type="pct"/>
            <w:tcBorders>
              <w:left w:val="single" w:sz="18" w:space="0" w:color="auto"/>
              <w:bottom w:val="single" w:sz="24"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rPr>
                <w:rFonts w:ascii="Arial" w:hAnsi="Arial" w:cs="Arial"/>
              </w:rPr>
            </w:pPr>
            <w:r w:rsidRPr="0000394E">
              <w:rPr>
                <w:rFonts w:ascii="Arial" w:hAnsi="Arial" w:cs="Arial"/>
                <w:lang w:val="en-GB"/>
              </w:rPr>
              <w:t>pTreg</w:t>
            </w:r>
          </w:p>
        </w:tc>
        <w:tc>
          <w:tcPr>
            <w:tcW w:w="1782" w:type="pct"/>
            <w:tcBorders>
              <w:bottom w:val="single" w:sz="24"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rPr>
            </w:pPr>
            <w:r>
              <w:rPr>
                <w:rFonts w:ascii="Arial" w:hAnsi="Arial" w:cs="Arial"/>
                <w:i/>
                <w:iCs/>
                <w:lang w:val="en-GB"/>
              </w:rPr>
              <w:t>Helios</w:t>
            </w:r>
            <w:r w:rsidRPr="00F44444">
              <w:rPr>
                <w:rFonts w:ascii="Arial" w:hAnsi="Arial" w:cs="Arial"/>
                <w:i/>
                <w:iCs/>
                <w:vertAlign w:val="superscript"/>
                <w:lang w:val="en-GB"/>
              </w:rPr>
              <w:t>−</w:t>
            </w:r>
            <w:r w:rsidRPr="0000394E">
              <w:rPr>
                <w:rFonts w:ascii="Arial" w:hAnsi="Arial" w:cs="Arial"/>
                <w:i/>
                <w:iCs/>
                <w:vertAlign w:val="superscript"/>
                <w:lang w:val="en-GB"/>
              </w:rPr>
              <w:t xml:space="preserve"> </w:t>
            </w:r>
            <w:r w:rsidRPr="0000394E">
              <w:rPr>
                <w:rFonts w:ascii="Arial" w:hAnsi="Arial" w:cs="Arial"/>
                <w:i/>
                <w:iCs/>
                <w:lang w:val="en-GB"/>
              </w:rPr>
              <w:t>Tigit</w:t>
            </w:r>
            <w:r w:rsidRPr="00F44444">
              <w:rPr>
                <w:rFonts w:ascii="Arial" w:hAnsi="Arial" w:cs="Arial"/>
                <w:i/>
                <w:iCs/>
                <w:vertAlign w:val="superscript"/>
                <w:lang w:val="en-GB"/>
              </w:rPr>
              <w:t>−</w:t>
            </w:r>
            <w:r w:rsidRPr="0000394E">
              <w:rPr>
                <w:rFonts w:ascii="Arial" w:hAnsi="Arial" w:cs="Arial"/>
                <w:i/>
                <w:iCs/>
                <w:lang w:val="en-GB"/>
              </w:rPr>
              <w:t xml:space="preserve"> Treg</w:t>
            </w:r>
          </w:p>
        </w:tc>
        <w:tc>
          <w:tcPr>
            <w:tcW w:w="836" w:type="pct"/>
            <w:tcBorders>
              <w:bottom w:val="single" w:sz="24"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center"/>
              <w:rPr>
                <w:rFonts w:ascii="Arial" w:hAnsi="Arial" w:cs="Arial"/>
              </w:rPr>
            </w:pPr>
            <w:r w:rsidRPr="0000394E">
              <w:rPr>
                <w:rFonts w:ascii="Arial" w:hAnsi="Arial" w:cs="Arial"/>
                <w:lang w:val="en-GB"/>
              </w:rPr>
              <w:t>Activator</w:t>
            </w:r>
          </w:p>
        </w:tc>
        <w:tc>
          <w:tcPr>
            <w:tcW w:w="1792" w:type="pct"/>
            <w:tcBorders>
              <w:bottom w:val="single" w:sz="24" w:space="0" w:color="auto"/>
              <w:right w:val="single" w:sz="18" w:space="0" w:color="auto"/>
            </w:tcBorders>
            <w:shd w:val="clear" w:color="auto" w:fill="FFFFFF"/>
            <w:tcMar>
              <w:top w:w="72" w:type="dxa"/>
              <w:left w:w="144" w:type="dxa"/>
              <w:bottom w:w="72" w:type="dxa"/>
              <w:right w:w="144" w:type="dxa"/>
            </w:tcMar>
            <w:vAlign w:val="center"/>
            <w:hideMark/>
          </w:tcPr>
          <w:p w:rsidR="00B43960" w:rsidRPr="0000394E" w:rsidRDefault="00B43960" w:rsidP="007A3FBE">
            <w:pPr>
              <w:spacing w:after="0" w:line="240" w:lineRule="auto"/>
              <w:jc w:val="both"/>
              <w:rPr>
                <w:rFonts w:ascii="Arial" w:hAnsi="Arial" w:cs="Arial"/>
                <w:lang w:val="en-GB"/>
              </w:rPr>
            </w:pPr>
            <w:r w:rsidRPr="0000394E">
              <w:rPr>
                <w:rFonts w:ascii="Arial" w:hAnsi="Arial" w:cs="Arial"/>
                <w:lang w:val="en-GB"/>
              </w:rPr>
              <w:t xml:space="preserve">Unstable </w:t>
            </w:r>
            <w:r>
              <w:rPr>
                <w:rFonts w:ascii="Arial" w:hAnsi="Arial" w:cs="Arial"/>
                <w:lang w:val="en-GB"/>
              </w:rPr>
              <w:t xml:space="preserve">peripheral </w:t>
            </w:r>
            <w:r w:rsidRPr="0000394E">
              <w:rPr>
                <w:rFonts w:ascii="Arial" w:hAnsi="Arial" w:cs="Arial"/>
                <w:lang w:val="en-GB"/>
              </w:rPr>
              <w:t>Treg populat</w:t>
            </w:r>
            <w:r>
              <w:rPr>
                <w:rFonts w:ascii="Arial" w:hAnsi="Arial" w:cs="Arial"/>
                <w:lang w:val="en-GB"/>
              </w:rPr>
              <w:t xml:space="preserve">ion whose phenotype may drift </w:t>
            </w:r>
            <w:r w:rsidRPr="006865BB">
              <w:rPr>
                <w:rFonts w:ascii="Arial" w:hAnsi="Arial" w:cs="Arial"/>
                <w:lang w:val="en-GB"/>
              </w:rPr>
              <w:t>towards a</w:t>
            </w:r>
            <w:r w:rsidRPr="0000394E">
              <w:rPr>
                <w:rFonts w:ascii="Arial" w:hAnsi="Arial" w:cs="Arial"/>
                <w:lang w:val="en-GB"/>
              </w:rPr>
              <w:t xml:space="preserve"> CD8</w:t>
            </w:r>
            <w:r w:rsidRPr="00F44444">
              <w:rPr>
                <w:rFonts w:ascii="Arial" w:hAnsi="Arial" w:cs="Arial"/>
                <w:vertAlign w:val="superscript"/>
                <w:lang w:val="en-GB"/>
              </w:rPr>
              <w:t>+</w:t>
            </w:r>
            <w:r w:rsidRPr="0000394E">
              <w:rPr>
                <w:rFonts w:ascii="Arial" w:hAnsi="Arial" w:cs="Arial"/>
                <w:lang w:val="en-GB"/>
              </w:rPr>
              <w:t xml:space="preserve"> profile with antitumor activity.</w:t>
            </w:r>
          </w:p>
        </w:tc>
      </w:tr>
    </w:tbl>
    <w:p w:rsidR="00B43960" w:rsidRPr="0000394E" w:rsidRDefault="00B43960" w:rsidP="00B43960">
      <w:pPr>
        <w:widowControl w:val="0"/>
        <w:autoSpaceDE w:val="0"/>
        <w:autoSpaceDN w:val="0"/>
        <w:adjustRightInd w:val="0"/>
        <w:spacing w:line="240" w:lineRule="auto"/>
        <w:ind w:left="640" w:hanging="640"/>
        <w:jc w:val="both"/>
        <w:rPr>
          <w:rFonts w:ascii="Arial" w:hAnsi="Arial" w:cs="Arial"/>
          <w:noProof/>
          <w:sz w:val="20"/>
          <w:szCs w:val="24"/>
          <w:lang w:val="en-US"/>
        </w:rPr>
      </w:pPr>
      <w:r w:rsidRPr="0000394E">
        <w:rPr>
          <w:rFonts w:ascii="Arial" w:hAnsi="Arial" w:cs="Arial"/>
          <w:sz w:val="20"/>
          <w:lang w:val="en-GB"/>
        </w:rPr>
        <w:fldChar w:fldCharType="begin" w:fldLock="1"/>
      </w:r>
      <w:r w:rsidRPr="0000394E">
        <w:rPr>
          <w:rFonts w:ascii="Arial" w:hAnsi="Arial" w:cs="Arial"/>
          <w:sz w:val="20"/>
          <w:lang w:val="en-GB"/>
        </w:rPr>
        <w:instrText xml:space="preserve">ADDIN Mendeley Bibliography CSL_BIBLIOGRAPHY </w:instrText>
      </w:r>
      <w:r w:rsidRPr="0000394E">
        <w:rPr>
          <w:rFonts w:ascii="Arial" w:hAnsi="Arial" w:cs="Arial"/>
          <w:sz w:val="20"/>
          <w:lang w:val="en-GB"/>
        </w:rPr>
        <w:fldChar w:fldCharType="separate"/>
      </w:r>
      <w:r w:rsidRPr="0000394E">
        <w:rPr>
          <w:rFonts w:ascii="Arial" w:hAnsi="Arial" w:cs="Arial"/>
          <w:noProof/>
          <w:sz w:val="20"/>
          <w:szCs w:val="24"/>
          <w:lang w:val="en-US"/>
        </w:rPr>
        <w:t>[1]</w:t>
      </w:r>
      <w:r w:rsidRPr="0000394E">
        <w:rPr>
          <w:rFonts w:ascii="Arial" w:hAnsi="Arial" w:cs="Arial"/>
          <w:noProof/>
          <w:sz w:val="20"/>
          <w:szCs w:val="24"/>
          <w:lang w:val="en-US"/>
        </w:rPr>
        <w:tab/>
        <w:t>W. Liu, A.L. Putnam, Z. Xu-yu, G.L. Szot, M.R. Lee, S. Zhu, P.A. Gottlieb, P. Kapranov, T.R. Gingeras, B.F. de St. Groth, C. Clayberger, D.M. Soper, S.F. Ziegler, J.A. Bluestone, CD127 expression inversely correlates with FoxP3 and suppressive function of human CD4+ T reg cells, J. Exp. Med. 203 (2006) 1701–1711. https://doi.org/10.1084/jem.20060772.</w:t>
      </w:r>
    </w:p>
    <w:p w:rsidR="00B43960" w:rsidRPr="0000394E" w:rsidRDefault="00B43960" w:rsidP="00B43960">
      <w:pPr>
        <w:widowControl w:val="0"/>
        <w:autoSpaceDE w:val="0"/>
        <w:autoSpaceDN w:val="0"/>
        <w:adjustRightInd w:val="0"/>
        <w:spacing w:line="240" w:lineRule="auto"/>
        <w:ind w:left="640" w:hanging="640"/>
        <w:jc w:val="both"/>
        <w:rPr>
          <w:rFonts w:ascii="Arial" w:hAnsi="Arial" w:cs="Arial"/>
          <w:noProof/>
          <w:sz w:val="20"/>
          <w:szCs w:val="24"/>
          <w:lang w:val="en-US"/>
        </w:rPr>
      </w:pPr>
      <w:r w:rsidRPr="0000394E">
        <w:rPr>
          <w:rFonts w:ascii="Arial" w:hAnsi="Arial" w:cs="Arial"/>
          <w:noProof/>
          <w:sz w:val="20"/>
          <w:szCs w:val="24"/>
          <w:lang w:val="en-US"/>
        </w:rPr>
        <w:t>[2]</w:t>
      </w:r>
      <w:r w:rsidRPr="0000394E">
        <w:rPr>
          <w:rFonts w:ascii="Arial" w:hAnsi="Arial" w:cs="Arial"/>
          <w:noProof/>
          <w:sz w:val="20"/>
          <w:szCs w:val="24"/>
          <w:lang w:val="en-US"/>
        </w:rPr>
        <w:tab/>
        <w:t xml:space="preserve"> and R.B. van B. Hongmei Cao, Rui Yu, Yi Tao, Dejan Nikolic, R. Jones, A Special Population of Regulatory T Cells Potentiates Muscle Repair, Bone. 23 (2005) 1–7. https://doi.org/10.1016/j.cell.2013.10.054.A.</w:t>
      </w:r>
    </w:p>
    <w:p w:rsidR="00B43960" w:rsidRPr="0000394E" w:rsidRDefault="00B43960" w:rsidP="00B43960">
      <w:pPr>
        <w:widowControl w:val="0"/>
        <w:autoSpaceDE w:val="0"/>
        <w:autoSpaceDN w:val="0"/>
        <w:adjustRightInd w:val="0"/>
        <w:spacing w:line="240" w:lineRule="auto"/>
        <w:ind w:left="640" w:hanging="640"/>
        <w:jc w:val="both"/>
        <w:rPr>
          <w:rFonts w:ascii="Arial" w:hAnsi="Arial" w:cs="Arial"/>
          <w:noProof/>
          <w:sz w:val="20"/>
        </w:rPr>
      </w:pPr>
      <w:r w:rsidRPr="0000394E">
        <w:rPr>
          <w:rFonts w:ascii="Arial" w:hAnsi="Arial" w:cs="Arial"/>
          <w:noProof/>
          <w:sz w:val="20"/>
          <w:szCs w:val="24"/>
          <w:lang w:val="en-US"/>
        </w:rPr>
        <w:t>[3]</w:t>
      </w:r>
      <w:r w:rsidRPr="0000394E">
        <w:rPr>
          <w:rFonts w:ascii="Arial" w:hAnsi="Arial" w:cs="Arial"/>
          <w:noProof/>
          <w:sz w:val="20"/>
          <w:szCs w:val="24"/>
          <w:lang w:val="en-US"/>
        </w:rPr>
        <w:tab/>
        <w:t xml:space="preserve">T. Ley, R. Browne, J. Abrams, R. Gonzalez, L. Bussell, M. Padron, F. Valles, The development and implementation of a precast bridge deck overhang system, 3rd Int. Fib Congr. Exhib. Inc. PCI Annu. Conv. Bridg. Conf. Think Glob. </w:t>
      </w:r>
      <w:r w:rsidRPr="0000394E">
        <w:rPr>
          <w:rFonts w:ascii="Arial" w:hAnsi="Arial" w:cs="Arial"/>
          <w:noProof/>
          <w:sz w:val="20"/>
          <w:szCs w:val="24"/>
        </w:rPr>
        <w:t>Build Locally, Proc. 15 (2010) 930–939. https://doi.org/10.1038/nm.2002.Fat.</w:t>
      </w:r>
    </w:p>
    <w:p w:rsidR="00B43960" w:rsidRPr="0000394E" w:rsidRDefault="00B43960" w:rsidP="00B43960">
      <w:pPr>
        <w:widowControl w:val="0"/>
        <w:autoSpaceDE w:val="0"/>
        <w:autoSpaceDN w:val="0"/>
        <w:adjustRightInd w:val="0"/>
        <w:spacing w:after="0" w:line="240" w:lineRule="auto"/>
        <w:jc w:val="both"/>
        <w:rPr>
          <w:rFonts w:ascii="Arial" w:hAnsi="Arial" w:cs="Arial"/>
          <w:b/>
          <w:sz w:val="28"/>
          <w:szCs w:val="20"/>
          <w:lang w:val="en-US"/>
        </w:rPr>
      </w:pPr>
      <w:r w:rsidRPr="0000394E">
        <w:rPr>
          <w:rFonts w:ascii="Arial" w:hAnsi="Arial" w:cs="Arial"/>
          <w:sz w:val="20"/>
          <w:lang w:val="en-GB"/>
        </w:rPr>
        <w:fldChar w:fldCharType="end"/>
      </w:r>
    </w:p>
    <w:p w:rsidR="004D15CA" w:rsidRDefault="004D15CA">
      <w:bookmarkStart w:id="0" w:name="_GoBack"/>
      <w:bookmarkEnd w:id="0"/>
    </w:p>
    <w:sectPr w:rsidR="004D15CA" w:rsidSect="008D06A0">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60"/>
    <w:rsid w:val="004D15CA"/>
    <w:rsid w:val="00B439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83BD1-211A-4C01-A7F4-A7F2EC7E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960"/>
    <w:pPr>
      <w:spacing w:after="200" w:line="276" w:lineRule="auto"/>
    </w:pPr>
    <w:rPr>
      <w:rFonts w:eastAsiaTheme="minorEastAsia"/>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1497</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Jesus Garrido Cid</dc:creator>
  <cp:keywords/>
  <dc:description/>
  <cp:lastModifiedBy>Maria Jesus Garrido Cid</cp:lastModifiedBy>
  <cp:revision>1</cp:revision>
  <dcterms:created xsi:type="dcterms:W3CDTF">2024-10-01T11:26:00Z</dcterms:created>
  <dcterms:modified xsi:type="dcterms:W3CDTF">2024-10-01T11:26:00Z</dcterms:modified>
</cp:coreProperties>
</file>