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52628C" w14:textId="77777777" w:rsidR="00AE7F3B" w:rsidRDefault="006E6D33">
      <w:pPr>
        <w:spacing w:line="240" w:lineRule="auto"/>
        <w:rPr>
          <w:rFonts w:ascii="Palatino Linotype" w:eastAsia="Palatino Linotype" w:hAnsi="Palatino Linotype" w:cs="Palatino Linotype"/>
          <w:b/>
          <w:sz w:val="20"/>
          <w:szCs w:val="20"/>
        </w:rPr>
      </w:pPr>
      <w:r>
        <w:rPr>
          <w:rFonts w:ascii="Palatino Linotype" w:eastAsia="Palatino Linotype" w:hAnsi="Palatino Linotype" w:cs="Palatino Linotype"/>
          <w:b/>
          <w:sz w:val="20"/>
          <w:szCs w:val="20"/>
        </w:rPr>
        <w:t>Supplementary material</w:t>
      </w:r>
    </w:p>
    <w:p w14:paraId="659B48C8" w14:textId="77777777" w:rsidR="00AE7F3B" w:rsidRDefault="00AE7F3B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1441C24" w14:textId="77777777" w:rsidR="00AE7F3B" w:rsidRDefault="006E6D33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4FC907AF" wp14:editId="6E38A4B4">
            <wp:extent cx="5943600" cy="3022600"/>
            <wp:effectExtent l="0" t="0" r="0" b="0"/>
            <wp:docPr id="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0E138F52" wp14:editId="1F6DEF11">
            <wp:extent cx="5943600" cy="1866900"/>
            <wp:effectExtent l="0" t="0" r="0" b="0"/>
            <wp:docPr id="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66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CF851BD" w14:textId="77777777" w:rsidR="00AE7F3B" w:rsidRDefault="006E6D33">
      <w:pPr>
        <w:spacing w:line="240" w:lineRule="auto"/>
        <w:jc w:val="both"/>
        <w:rPr>
          <w:rFonts w:ascii="Palatino Linotype" w:eastAsia="Palatino Linotype" w:hAnsi="Palatino Linotype" w:cs="Palatino Linotype"/>
          <w:b/>
          <w:sz w:val="18"/>
          <w:szCs w:val="18"/>
        </w:rPr>
      </w:pPr>
      <w:r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Figure S1. </w:t>
      </w:r>
      <w:r>
        <w:rPr>
          <w:rFonts w:ascii="Palatino Linotype" w:eastAsia="Palatino Linotype" w:hAnsi="Palatino Linotype" w:cs="Palatino Linotype"/>
          <w:sz w:val="18"/>
          <w:szCs w:val="18"/>
        </w:rPr>
        <w:t>Dispersion of the golden mussel (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Limnoperna </w:t>
      </w:r>
      <w:proofErr w:type="spellStart"/>
      <w:r>
        <w:rPr>
          <w:rFonts w:ascii="Palatino Linotype" w:eastAsia="Palatino Linotype" w:hAnsi="Palatino Linotype" w:cs="Palatino Linotype"/>
          <w:i/>
          <w:sz w:val="18"/>
          <w:szCs w:val="18"/>
        </w:rPr>
        <w:t>fortunei</w:t>
      </w:r>
      <w:proofErr w:type="spellEnd"/>
      <w:r>
        <w:rPr>
          <w:rFonts w:ascii="Palatino Linotype" w:eastAsia="Palatino Linotype" w:hAnsi="Palatino Linotype" w:cs="Palatino Linotype"/>
          <w:i/>
          <w:sz w:val="18"/>
          <w:szCs w:val="18"/>
        </w:rPr>
        <w:t>)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 in the Lower São Francisco River (LSFR) basin.</w:t>
      </w:r>
      <w:r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 </w:t>
      </w:r>
      <w:r>
        <w:rPr>
          <w:rFonts w:ascii="Palatino Linotype" w:eastAsia="Palatino Linotype" w:hAnsi="Palatino Linotype" w:cs="Palatino Linotype"/>
          <w:sz w:val="18"/>
          <w:szCs w:val="18"/>
        </w:rPr>
        <w:t>The red polygon (A) indicates the region classified as LSFR; the yellow polygon (A and B) indicates the site with public warning of the presence of the golden mussel in 2016 [88,89]; yellow balls with a star (A, B and C) indicates confirmed occurrence of g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olden mussel in LSFR basin. Where: HP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Xingó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: Hydroelectric Plant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Xingó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; VIF: Village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Ilha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das Flores; BGM: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Brejo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Grande Marine; MRS: Mouth of the River São Francisco.</w:t>
      </w:r>
      <w:r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 </w:t>
      </w:r>
      <w:r>
        <w:rPr>
          <w:rFonts w:ascii="Palatino Linotype" w:eastAsia="Palatino Linotype" w:hAnsi="Palatino Linotype" w:cs="Palatino Linotype"/>
          <w:sz w:val="18"/>
          <w:szCs w:val="18"/>
        </w:rPr>
        <w:t>Distances: end of yellow polygon (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Mato da </w:t>
      </w:r>
      <w:proofErr w:type="spellStart"/>
      <w:r>
        <w:rPr>
          <w:rFonts w:ascii="Palatino Linotype" w:eastAsia="Palatino Linotype" w:hAnsi="Palatino Linotype" w:cs="Palatino Linotype"/>
          <w:i/>
          <w:sz w:val="18"/>
          <w:szCs w:val="18"/>
        </w:rPr>
        <w:t>Onça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Reserve)-</w:t>
      </w:r>
      <w:proofErr w:type="gramStart"/>
      <w:r>
        <w:rPr>
          <w:rFonts w:ascii="Palatino Linotype" w:eastAsia="Palatino Linotype" w:hAnsi="Palatino Linotype" w:cs="Palatino Linotype"/>
          <w:sz w:val="18"/>
          <w:szCs w:val="18"/>
        </w:rPr>
        <w:t>VIF(</w:t>
      </w:r>
      <w:proofErr w:type="gramEnd"/>
      <w:r>
        <w:rPr>
          <w:rFonts w:ascii="Palatino Linotype" w:eastAsia="Palatino Linotype" w:hAnsi="Palatino Linotype" w:cs="Palatino Linotype"/>
          <w:sz w:val="18"/>
          <w:szCs w:val="18"/>
        </w:rPr>
        <w:t>124,973.7m); VIF-BGM (7,499.5</w:t>
      </w:r>
      <w:r>
        <w:rPr>
          <w:rFonts w:ascii="Palatino Linotype" w:eastAsia="Palatino Linotype" w:hAnsi="Palatino Linotype" w:cs="Palatino Linotype"/>
          <w:sz w:val="18"/>
          <w:szCs w:val="18"/>
        </w:rPr>
        <w:t>m); VIF-MRS (11,494.6m); BGM-MRS (4,909.1m).</w:t>
      </w:r>
    </w:p>
    <w:p w14:paraId="5D64B67F" w14:textId="77777777" w:rsidR="00AE7F3B" w:rsidRDefault="006E6D33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ab/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57793471" wp14:editId="5FDDC803">
            <wp:extent cx="5986731" cy="4074840"/>
            <wp:effectExtent l="0" t="0" r="0" b="0"/>
            <wp:docPr id="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86731" cy="40748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BBA0345" w14:textId="77777777" w:rsidR="00AE7F3B" w:rsidRDefault="006E6D33">
      <w:pPr>
        <w:spacing w:line="240" w:lineRule="auto"/>
        <w:ind w:right="-125"/>
        <w:jc w:val="both"/>
        <w:rPr>
          <w:rFonts w:ascii="Palatino Linotype" w:eastAsia="Palatino Linotype" w:hAnsi="Palatino Linotype" w:cs="Palatino Linotype"/>
          <w:sz w:val="18"/>
          <w:szCs w:val="18"/>
        </w:rPr>
      </w:pPr>
      <w:r>
        <w:rPr>
          <w:rFonts w:ascii="Palatino Linotype" w:eastAsia="Palatino Linotype" w:hAnsi="Palatino Linotype" w:cs="Palatino Linotype"/>
          <w:b/>
          <w:sz w:val="18"/>
          <w:szCs w:val="18"/>
        </w:rPr>
        <w:t>Figure S2.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 Example of factors that may have contributed to the dispersion of the golden mussel in the Lower São Francisco River basin. </w:t>
      </w:r>
      <w:proofErr w:type="spellStart"/>
      <w:r>
        <w:rPr>
          <w:rFonts w:ascii="Palatino Linotype" w:eastAsia="Palatino Linotype" w:hAnsi="Palatino Linotype" w:cs="Palatino Linotype"/>
          <w:i/>
          <w:sz w:val="18"/>
          <w:szCs w:val="18"/>
        </w:rPr>
        <w:t>Quilombola</w:t>
      </w:r>
      <w:proofErr w:type="spellEnd"/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 c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ommunity of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Santarém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and ports of landing artisanal fishing f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rom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Brejo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Grande at the mouth of the river (A); landing ports of artisanal fishermen in the municipalities of Village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Ilha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das Flores (B) and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Brejo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Grande (C). Cultivation dams (shrimp and fish) and road (D); flow channels of dams in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Brejo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Grande (E); laun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dress and macrophytes in Village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Ilha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das Flores (F). Similarly, it was observed in the 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Mato da </w:t>
      </w:r>
      <w:proofErr w:type="spellStart"/>
      <w:r>
        <w:rPr>
          <w:rFonts w:ascii="Palatino Linotype" w:eastAsia="Palatino Linotype" w:hAnsi="Palatino Linotype" w:cs="Palatino Linotype"/>
          <w:i/>
          <w:sz w:val="18"/>
          <w:szCs w:val="18"/>
        </w:rPr>
        <w:t>Onça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Reserve, close to the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Xingó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Hydroelectric Power Plant [88,89].</w:t>
      </w:r>
    </w:p>
    <w:p w14:paraId="2A1C65CE" w14:textId="77777777" w:rsidR="00AE7F3B" w:rsidRDefault="00AE7F3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E7A4D81" w14:textId="77777777" w:rsidR="00AE7F3B" w:rsidRDefault="00AE7F3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4FC1425" w14:textId="77777777" w:rsidR="00AE7F3B" w:rsidRDefault="00AE7F3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59DB7D1" w14:textId="77777777" w:rsidR="00AE7F3B" w:rsidRDefault="006E6D33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A4F09AF" wp14:editId="25335C50">
            <wp:extent cx="3495675" cy="3112740"/>
            <wp:effectExtent l="0" t="0" r="0" b="0"/>
            <wp:docPr id="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t="1269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31127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3E692575" wp14:editId="62CEBC6A">
            <wp:extent cx="2328863" cy="3143250"/>
            <wp:effectExtent l="0" t="0" r="0" b="0"/>
            <wp:docPr id="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28863" cy="3143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EA1A7BD" w14:textId="77777777" w:rsidR="00AE7F3B" w:rsidRDefault="006E6D33">
      <w:pPr>
        <w:spacing w:line="240" w:lineRule="auto"/>
        <w:jc w:val="both"/>
        <w:rPr>
          <w:rFonts w:ascii="Palatino Linotype" w:eastAsia="Palatino Linotype" w:hAnsi="Palatino Linotype" w:cs="Palatino Linotype"/>
          <w:sz w:val="18"/>
          <w:szCs w:val="18"/>
          <w:highlight w:val="yellow"/>
        </w:rPr>
      </w:pPr>
      <w:r>
        <w:rPr>
          <w:rFonts w:ascii="Palatino Linotype" w:eastAsia="Palatino Linotype" w:hAnsi="Palatino Linotype" w:cs="Palatino Linotype"/>
          <w:b/>
          <w:sz w:val="18"/>
          <w:szCs w:val="18"/>
        </w:rPr>
        <w:t>Figure S3.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 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Limnoperna </w:t>
      </w:r>
      <w:proofErr w:type="spellStart"/>
      <w:r>
        <w:rPr>
          <w:rFonts w:ascii="Palatino Linotype" w:eastAsia="Palatino Linotype" w:hAnsi="Palatino Linotype" w:cs="Palatino Linotype"/>
          <w:i/>
          <w:sz w:val="18"/>
          <w:szCs w:val="18"/>
        </w:rPr>
        <w:t>fortunei</w:t>
      </w:r>
      <w:proofErr w:type="spellEnd"/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 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present in different substrates in the Lower São Francisco River basin. A: natural consolidated substrate with native fauna in MRS: 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Vitta </w:t>
      </w:r>
      <w:proofErr w:type="spellStart"/>
      <w:r>
        <w:rPr>
          <w:rFonts w:ascii="Palatino Linotype" w:eastAsia="Palatino Linotype" w:hAnsi="Palatino Linotype" w:cs="Palatino Linotype"/>
          <w:i/>
          <w:sz w:val="18"/>
          <w:szCs w:val="18"/>
        </w:rPr>
        <w:t>virginea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and 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>Crassostrea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 sp.; B: artificial consolidated substrate in drainage channels used for fish and white shrimp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 farming (</w:t>
      </w:r>
      <w:proofErr w:type="spellStart"/>
      <w:r>
        <w:rPr>
          <w:rFonts w:ascii="Palatino Linotype" w:eastAsia="Palatino Linotype" w:hAnsi="Palatino Linotype" w:cs="Palatino Linotype"/>
          <w:i/>
          <w:sz w:val="18"/>
          <w:szCs w:val="18"/>
        </w:rPr>
        <w:t>Litopeneus</w:t>
      </w:r>
      <w:proofErr w:type="spellEnd"/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 </w:t>
      </w:r>
      <w:proofErr w:type="spellStart"/>
      <w:r>
        <w:rPr>
          <w:rFonts w:ascii="Palatino Linotype" w:eastAsia="Palatino Linotype" w:hAnsi="Palatino Linotype" w:cs="Palatino Linotype"/>
          <w:i/>
          <w:sz w:val="18"/>
          <w:szCs w:val="18"/>
        </w:rPr>
        <w:t>vanammei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) in MRS; C: unconsolidated in artisanal fishermen landing ports in VIF; arrow indicates gastropod of family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Neritinidae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Scales: A and C= 4cm. Similarly observed in the 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Mato da </w:t>
      </w:r>
      <w:proofErr w:type="spellStart"/>
      <w:r>
        <w:rPr>
          <w:rFonts w:ascii="Palatino Linotype" w:eastAsia="Palatino Linotype" w:hAnsi="Palatino Linotype" w:cs="Palatino Linotype"/>
          <w:i/>
          <w:sz w:val="18"/>
          <w:szCs w:val="18"/>
        </w:rPr>
        <w:t>Onça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Reserve, close to the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Xingó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Hydroelectric Pow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er Plant [88,89]; On the right: Relative frequencies of Class (shell size) according to 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>Sturges rule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 in Village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Ilha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das Flores (VIF),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Brejo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Grande Marine (BGM) and Mouth of the River São Francisco (MRS).</w:t>
      </w:r>
    </w:p>
    <w:p w14:paraId="4AACDD32" w14:textId="77777777" w:rsidR="00AE7F3B" w:rsidRDefault="00AE7F3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4AE916B" w14:textId="77777777" w:rsidR="00AE7F3B" w:rsidRDefault="006E6D33">
      <w:pPr>
        <w:spacing w:line="259" w:lineRule="auto"/>
        <w:jc w:val="center"/>
      </w:pPr>
      <w:r>
        <w:rPr>
          <w:noProof/>
        </w:rPr>
        <w:drawing>
          <wp:inline distT="114300" distB="114300" distL="114300" distR="114300" wp14:anchorId="301F1037" wp14:editId="32BDE26D">
            <wp:extent cx="4281083" cy="2364005"/>
            <wp:effectExtent l="0" t="0" r="0" b="0"/>
            <wp:docPr id="2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1083" cy="23640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80D8FF0" w14:textId="77777777" w:rsidR="00AE7F3B" w:rsidRDefault="006E6D33">
      <w:pPr>
        <w:spacing w:line="240" w:lineRule="auto"/>
        <w:jc w:val="both"/>
        <w:rPr>
          <w:rFonts w:ascii="Palatino Linotype" w:eastAsia="Palatino Linotype" w:hAnsi="Palatino Linotype" w:cs="Palatino Linotype"/>
          <w:sz w:val="18"/>
          <w:szCs w:val="18"/>
        </w:rPr>
      </w:pPr>
      <w:r>
        <w:rPr>
          <w:rFonts w:ascii="Palatino Linotype" w:eastAsia="Palatino Linotype" w:hAnsi="Palatino Linotype" w:cs="Palatino Linotype"/>
          <w:b/>
          <w:sz w:val="18"/>
          <w:szCs w:val="18"/>
        </w:rPr>
        <w:t>Figure S4.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 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Biometry and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Conchiology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 of 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>Limnopern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a </w:t>
      </w:r>
      <w:proofErr w:type="spellStart"/>
      <w:r>
        <w:rPr>
          <w:rFonts w:ascii="Palatino Linotype" w:eastAsia="Palatino Linotype" w:hAnsi="Palatino Linotype" w:cs="Palatino Linotype"/>
          <w:i/>
          <w:sz w:val="18"/>
          <w:szCs w:val="18"/>
        </w:rPr>
        <w:t>fortunei</w:t>
      </w:r>
      <w:proofErr w:type="spellEnd"/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 </w:t>
      </w:r>
      <w:r>
        <w:rPr>
          <w:rFonts w:ascii="Palatino Linotype" w:eastAsia="Palatino Linotype" w:hAnsi="Palatino Linotype" w:cs="Palatino Linotype"/>
          <w:sz w:val="18"/>
          <w:szCs w:val="18"/>
        </w:rPr>
        <w:t>obtained in the Lower São Francisco River. External and internal view of the right and left valves (A and B); L - shells length (modified [56</w:t>
      </w:r>
      <w:proofErr w:type="gramStart"/>
      <w:r>
        <w:rPr>
          <w:rFonts w:ascii="Palatino Linotype" w:eastAsia="Palatino Linotype" w:hAnsi="Palatino Linotype" w:cs="Palatino Linotype"/>
          <w:sz w:val="18"/>
          <w:szCs w:val="18"/>
        </w:rPr>
        <w:t>])  Scale</w:t>
      </w:r>
      <w:proofErr w:type="gram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: A and B 2 mm. </w:t>
      </w:r>
    </w:p>
    <w:p w14:paraId="5B57AA66" w14:textId="77777777" w:rsidR="00AE7F3B" w:rsidRDefault="00AE7F3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D30FE72" w14:textId="77777777" w:rsidR="00AE7F3B" w:rsidRDefault="00AE7F3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B9E2AC3" w14:textId="77777777" w:rsidR="00AE7F3B" w:rsidRDefault="00AE7F3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DDB6264" w14:textId="77777777" w:rsidR="00AE7F3B" w:rsidRDefault="006E6D33">
      <w:pPr>
        <w:spacing w:line="240" w:lineRule="auto"/>
        <w:ind w:left="-1080"/>
        <w:jc w:val="both"/>
        <w:rPr>
          <w:rFonts w:ascii="Times New Roman" w:eastAsia="Times New Roman" w:hAnsi="Times New Roman" w:cs="Times New Roman"/>
          <w:b/>
          <w:sz w:val="44"/>
          <w:szCs w:val="4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114300" distB="114300" distL="114300" distR="114300" wp14:anchorId="39A43E46" wp14:editId="6CF5D2A0">
            <wp:extent cx="7353300" cy="7523565"/>
            <wp:effectExtent l="0" t="0" r="0" b="0"/>
            <wp:docPr id="1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53300" cy="75235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45A715D" w14:textId="77777777" w:rsidR="00AE7F3B" w:rsidRDefault="00AE7F3B">
      <w:pPr>
        <w:spacing w:line="240" w:lineRule="auto"/>
        <w:ind w:left="-117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CBBF13A" w14:textId="77777777" w:rsidR="00AE7F3B" w:rsidRDefault="006E6D3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114300" distB="114300" distL="114300" distR="114300" wp14:anchorId="2D9E441B" wp14:editId="2BA77C94">
            <wp:extent cx="5210175" cy="6986588"/>
            <wp:effectExtent l="0" t="0" r="0" b="0"/>
            <wp:docPr id="3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69865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121FBE3" w14:textId="77777777" w:rsidR="00AE7F3B" w:rsidRDefault="006E6D33">
      <w:pPr>
        <w:spacing w:line="240" w:lineRule="auto"/>
        <w:jc w:val="both"/>
        <w:rPr>
          <w:rFonts w:ascii="Palatino Linotype" w:eastAsia="Palatino Linotype" w:hAnsi="Palatino Linotype" w:cs="Palatino Linotype"/>
          <w:sz w:val="18"/>
          <w:szCs w:val="18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Figure S5. </w:t>
      </w:r>
      <w:r>
        <w:rPr>
          <w:rFonts w:ascii="Palatino Linotype" w:eastAsia="Palatino Linotype" w:hAnsi="Palatino Linotype" w:cs="Palatino Linotype"/>
          <w:color w:val="333333"/>
          <w:sz w:val="18"/>
          <w:szCs w:val="18"/>
        </w:rPr>
        <w:t xml:space="preserve">Neighbor-Joining (NJ) tree </w:t>
      </w:r>
      <w:r>
        <w:rPr>
          <w:rFonts w:ascii="Palatino Linotype" w:eastAsia="Palatino Linotype" w:hAnsi="Palatino Linotype" w:cs="Palatino Linotype"/>
          <w:sz w:val="18"/>
          <w:szCs w:val="18"/>
        </w:rPr>
        <w:t>for mitochondrial cytochrome c oxidase subunit I (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>Cox1</w:t>
      </w:r>
      <w:r>
        <w:rPr>
          <w:rFonts w:ascii="Palatino Linotype" w:eastAsia="Palatino Linotype" w:hAnsi="Palatino Linotype" w:cs="Palatino Linotype"/>
          <w:sz w:val="18"/>
          <w:szCs w:val="18"/>
        </w:rPr>
        <w:t>) gene for the golden mussel</w:t>
      </w:r>
      <w:r>
        <w:rPr>
          <w:rFonts w:ascii="Palatino Linotype" w:eastAsia="Palatino Linotype" w:hAnsi="Palatino Linotype" w:cs="Palatino Linotype"/>
          <w:b/>
          <w:sz w:val="18"/>
          <w:szCs w:val="18"/>
        </w:rPr>
        <w:t xml:space="preserve">. A. 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Radial tree Haplotypes for 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>Cox1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 gene for the golden mussel 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Limnoperna </w:t>
      </w:r>
      <w:proofErr w:type="spellStart"/>
      <w:r>
        <w:rPr>
          <w:rFonts w:ascii="Palatino Linotype" w:eastAsia="Palatino Linotype" w:hAnsi="Palatino Linotype" w:cs="Palatino Linotype"/>
          <w:i/>
          <w:sz w:val="18"/>
          <w:szCs w:val="18"/>
        </w:rPr>
        <w:t>fortunei</w:t>
      </w:r>
      <w:proofErr w:type="spellEnd"/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. </w:t>
      </w:r>
      <w:r>
        <w:rPr>
          <w:rFonts w:ascii="Palatino Linotype" w:eastAsia="Palatino Linotype" w:hAnsi="Palatino Linotype" w:cs="Palatino Linotype"/>
          <w:b/>
          <w:sz w:val="18"/>
          <w:szCs w:val="18"/>
        </w:rPr>
        <w:t>B.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 Relation of Haplotypes for </w:t>
      </w:r>
      <w:r>
        <w:rPr>
          <w:rFonts w:ascii="Palatino Linotype" w:eastAsia="Palatino Linotype" w:hAnsi="Palatino Linotype" w:cs="Palatino Linotype"/>
          <w:i/>
          <w:sz w:val="18"/>
          <w:szCs w:val="18"/>
        </w:rPr>
        <w:t>Cox1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 gene for the golden mussel. Black line - exclusive hap</w:t>
      </w:r>
      <w:r>
        <w:rPr>
          <w:rFonts w:ascii="Palatino Linotype" w:eastAsia="Palatino Linotype" w:hAnsi="Palatino Linotype" w:cs="Palatino Linotype"/>
          <w:sz w:val="18"/>
          <w:szCs w:val="18"/>
        </w:rPr>
        <w:t>lotype of Asia; blue line - haplotype present in Asia and South America; red line - exclusive haplotype of South America; pink line - haplotypes identified in Lower São Francisco River (LSFR), and exclusive to South America; light blue line - haplotypes id</w:t>
      </w:r>
      <w:r>
        <w:rPr>
          <w:rFonts w:ascii="Palatino Linotype" w:eastAsia="Palatino Linotype" w:hAnsi="Palatino Linotype" w:cs="Palatino Linotype"/>
          <w:sz w:val="18"/>
          <w:szCs w:val="18"/>
        </w:rPr>
        <w:t xml:space="preserve">entified in LSFR, and present in Asia and South America; * - not described by the authors and not present in the bibliography if deposited </w:t>
      </w:r>
      <w:proofErr w:type="spellStart"/>
      <w:r>
        <w:rPr>
          <w:rFonts w:ascii="Palatino Linotype" w:eastAsia="Palatino Linotype" w:hAnsi="Palatino Linotype" w:cs="Palatino Linotype"/>
          <w:sz w:val="18"/>
          <w:szCs w:val="18"/>
        </w:rPr>
        <w:t>Genbank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; outgroup: </w:t>
      </w:r>
      <w:proofErr w:type="spellStart"/>
      <w:r>
        <w:rPr>
          <w:rFonts w:ascii="Palatino Linotype" w:eastAsia="Palatino Linotype" w:hAnsi="Palatino Linotype" w:cs="Palatino Linotype"/>
          <w:i/>
          <w:sz w:val="18"/>
          <w:szCs w:val="18"/>
        </w:rPr>
        <w:t>Lithophaga</w:t>
      </w:r>
      <w:proofErr w:type="spellEnd"/>
      <w:r>
        <w:rPr>
          <w:rFonts w:ascii="Palatino Linotype" w:eastAsia="Palatino Linotype" w:hAnsi="Palatino Linotype" w:cs="Palatino Linotype"/>
          <w:i/>
          <w:sz w:val="18"/>
          <w:szCs w:val="18"/>
        </w:rPr>
        <w:t xml:space="preserve"> </w:t>
      </w:r>
      <w:proofErr w:type="spellStart"/>
      <w:r>
        <w:rPr>
          <w:rFonts w:ascii="Palatino Linotype" w:eastAsia="Palatino Linotype" w:hAnsi="Palatino Linotype" w:cs="Palatino Linotype"/>
          <w:i/>
          <w:sz w:val="18"/>
          <w:szCs w:val="18"/>
        </w:rPr>
        <w:t>curta</w:t>
      </w:r>
      <w:proofErr w:type="spellEnd"/>
      <w:r>
        <w:rPr>
          <w:rFonts w:ascii="Palatino Linotype" w:eastAsia="Palatino Linotype" w:hAnsi="Palatino Linotype" w:cs="Palatino Linotype"/>
          <w:sz w:val="18"/>
          <w:szCs w:val="18"/>
        </w:rPr>
        <w:t xml:space="preserve">. </w:t>
      </w:r>
    </w:p>
    <w:sectPr w:rsidR="00AE7F3B">
      <w:pgSz w:w="12240" w:h="15840"/>
      <w:pgMar w:top="585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7F3B"/>
    <w:rsid w:val="006E6D33"/>
    <w:rsid w:val="00AE7F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6FD40A3"/>
  <w15:docId w15:val="{33A32A99-189F-4D46-B2F1-FC80333BC3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485</Words>
  <Characters>2562</Characters>
  <Application>Microsoft Office Word</Application>
  <DocSecurity>0</DocSecurity>
  <Lines>48</Lines>
  <Paragraphs>7</Paragraphs>
  <ScaleCrop>false</ScaleCrop>
  <Company/>
  <LinksUpToDate>false</LinksUpToDate>
  <CharactersWithSpaces>3040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Roberto Artoni</cp:lastModifiedBy>
  <cp:revision>2</cp:revision>
  <dcterms:created xsi:type="dcterms:W3CDTF">2024-09-27T21:42:00Z</dcterms:created>
  <dcterms:modified xsi:type="dcterms:W3CDTF">2024-09-27T21:42:00Z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600947bca9f4fbe48c08e018c5b568d9367ed4215a89b0980c75bf1fa165083b</vt:lpwstr>
  </property>
</Properties>
</file>