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2760D" w:rsidRDefault="003D4E52">
      <w:pPr>
        <w:spacing w:line="240" w:lineRule="auto"/>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Supplementary material</w:t>
      </w:r>
    </w:p>
    <w:p w14:paraId="00000002" w14:textId="77777777" w:rsidR="0052760D" w:rsidRDefault="0052760D">
      <w:pPr>
        <w:spacing w:line="240" w:lineRule="auto"/>
        <w:rPr>
          <w:rFonts w:ascii="Palatino Linotype" w:eastAsia="Palatino Linotype" w:hAnsi="Palatino Linotype" w:cs="Palatino Linotype"/>
          <w:b/>
          <w:sz w:val="20"/>
          <w:szCs w:val="20"/>
        </w:rPr>
      </w:pPr>
    </w:p>
    <w:p w14:paraId="00000003" w14:textId="77777777" w:rsidR="0052760D" w:rsidRDefault="003D4E52">
      <w:pPr>
        <w:spacing w:line="240" w:lineRule="auto"/>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 xml:space="preserve">Text S1. </w:t>
      </w:r>
      <w:r>
        <w:rPr>
          <w:rFonts w:ascii="Palatino Linotype" w:eastAsia="Palatino Linotype" w:hAnsi="Palatino Linotype" w:cs="Palatino Linotype"/>
          <w:sz w:val="20"/>
          <w:szCs w:val="20"/>
        </w:rPr>
        <w:t xml:space="preserve">The Lower São Francisco River (LSFR) region. </w:t>
      </w:r>
    </w:p>
    <w:p w14:paraId="00000004" w14:textId="77777777" w:rsidR="0052760D" w:rsidRDefault="0052760D">
      <w:pPr>
        <w:spacing w:line="240" w:lineRule="auto"/>
        <w:rPr>
          <w:rFonts w:ascii="Palatino Linotype" w:eastAsia="Palatino Linotype" w:hAnsi="Palatino Linotype" w:cs="Palatino Linotype"/>
          <w:b/>
          <w:sz w:val="20"/>
          <w:szCs w:val="20"/>
        </w:rPr>
      </w:pPr>
    </w:p>
    <w:p w14:paraId="00000005" w14:textId="77777777" w:rsidR="0052760D" w:rsidRDefault="003D4E52">
      <w:pPr>
        <w:widowControl w:val="0"/>
        <w:spacing w:line="240" w:lineRule="auto"/>
        <w:ind w:left="100" w:right="118" w:firstLine="705"/>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The basin is utilized for various activities, including crop irrigation, electric power generation, and water supply for small and large urban centers. The river originates in Southeastern Brazil, at an altitude of 1,800 m, and flows into the Northeastern</w:t>
      </w:r>
      <w:r>
        <w:rPr>
          <w:rFonts w:ascii="Palatino Linotype" w:eastAsia="Palatino Linotype" w:hAnsi="Palatino Linotype" w:cs="Palatino Linotype"/>
          <w:sz w:val="20"/>
          <w:szCs w:val="20"/>
        </w:rPr>
        <w:t xml:space="preserve"> coast of Brazil [92].</w:t>
      </w:r>
    </w:p>
    <w:p w14:paraId="00000006" w14:textId="77777777" w:rsidR="0052760D" w:rsidRDefault="003D4E52">
      <w:pPr>
        <w:widowControl w:val="0"/>
        <w:spacing w:line="240" w:lineRule="auto"/>
        <w:ind w:left="100" w:right="118" w:firstLine="705"/>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The Lower São Francisco River (LSFR) region has a mean annual rainfall ranging from 400 to 1,300 mm [93]. The region is characterized by mostly intermittent or temporary tributaries, whose flow is regulated by three hydroelectric pow</w:t>
      </w:r>
      <w:r>
        <w:rPr>
          <w:rFonts w:ascii="Palatino Linotype" w:eastAsia="Palatino Linotype" w:hAnsi="Palatino Linotype" w:cs="Palatino Linotype"/>
          <w:sz w:val="20"/>
          <w:szCs w:val="20"/>
        </w:rPr>
        <w:t xml:space="preserve">er plants (Paulo Afonso, </w:t>
      </w:r>
      <w:proofErr w:type="spellStart"/>
      <w:r>
        <w:rPr>
          <w:rFonts w:ascii="Palatino Linotype" w:eastAsia="Palatino Linotype" w:hAnsi="Palatino Linotype" w:cs="Palatino Linotype"/>
          <w:sz w:val="20"/>
          <w:szCs w:val="20"/>
        </w:rPr>
        <w:t>Moxotó</w:t>
      </w:r>
      <w:proofErr w:type="spellEnd"/>
      <w:r>
        <w:rPr>
          <w:rFonts w:ascii="Palatino Linotype" w:eastAsia="Palatino Linotype" w:hAnsi="Palatino Linotype" w:cs="Palatino Linotype"/>
          <w:sz w:val="20"/>
          <w:szCs w:val="20"/>
        </w:rPr>
        <w:t xml:space="preserve">, and </w:t>
      </w:r>
      <w:proofErr w:type="spellStart"/>
      <w:r>
        <w:rPr>
          <w:rFonts w:ascii="Palatino Linotype" w:eastAsia="Palatino Linotype" w:hAnsi="Palatino Linotype" w:cs="Palatino Linotype"/>
          <w:sz w:val="20"/>
          <w:szCs w:val="20"/>
        </w:rPr>
        <w:t>Xingó</w:t>
      </w:r>
      <w:proofErr w:type="spellEnd"/>
      <w:r>
        <w:rPr>
          <w:rFonts w:ascii="Palatino Linotype" w:eastAsia="Palatino Linotype" w:hAnsi="Palatino Linotype" w:cs="Palatino Linotype"/>
          <w:sz w:val="20"/>
          <w:szCs w:val="20"/>
        </w:rPr>
        <w:t xml:space="preserve">). The region includes counties such as </w:t>
      </w:r>
      <w:proofErr w:type="spellStart"/>
      <w:r>
        <w:rPr>
          <w:rFonts w:ascii="Palatino Linotype" w:eastAsia="Palatino Linotype" w:hAnsi="Palatino Linotype" w:cs="Palatino Linotype"/>
          <w:sz w:val="20"/>
          <w:szCs w:val="20"/>
        </w:rPr>
        <w:t>Ilha</w:t>
      </w:r>
      <w:proofErr w:type="spellEnd"/>
      <w:r>
        <w:rPr>
          <w:rFonts w:ascii="Palatino Linotype" w:eastAsia="Palatino Linotype" w:hAnsi="Palatino Linotype" w:cs="Palatino Linotype"/>
          <w:sz w:val="20"/>
          <w:szCs w:val="20"/>
        </w:rPr>
        <w:t xml:space="preserve"> das Flores, </w:t>
      </w:r>
      <w:proofErr w:type="spellStart"/>
      <w:r>
        <w:rPr>
          <w:rFonts w:ascii="Palatino Linotype" w:eastAsia="Palatino Linotype" w:hAnsi="Palatino Linotype" w:cs="Palatino Linotype"/>
          <w:sz w:val="20"/>
          <w:szCs w:val="20"/>
        </w:rPr>
        <w:t>Brejo</w:t>
      </w:r>
      <w:proofErr w:type="spellEnd"/>
      <w:r>
        <w:rPr>
          <w:rFonts w:ascii="Palatino Linotype" w:eastAsia="Palatino Linotype" w:hAnsi="Palatino Linotype" w:cs="Palatino Linotype"/>
          <w:sz w:val="20"/>
          <w:szCs w:val="20"/>
        </w:rPr>
        <w:t xml:space="preserve"> Grande (Sergipe State), and </w:t>
      </w:r>
      <w:proofErr w:type="spellStart"/>
      <w:r>
        <w:rPr>
          <w:rFonts w:ascii="Palatino Linotype" w:eastAsia="Palatino Linotype" w:hAnsi="Palatino Linotype" w:cs="Palatino Linotype"/>
          <w:sz w:val="20"/>
          <w:szCs w:val="20"/>
        </w:rPr>
        <w:t>Piaçabuçú</w:t>
      </w:r>
      <w:proofErr w:type="spellEnd"/>
      <w:r>
        <w:rPr>
          <w:rFonts w:ascii="Palatino Linotype" w:eastAsia="Palatino Linotype" w:hAnsi="Palatino Linotype" w:cs="Palatino Linotype"/>
          <w:sz w:val="20"/>
          <w:szCs w:val="20"/>
        </w:rPr>
        <w:t xml:space="preserve"> (Alagoas State) [94-96], where </w:t>
      </w:r>
      <w:proofErr w:type="spellStart"/>
      <w:r>
        <w:rPr>
          <w:rFonts w:ascii="Palatino Linotype" w:eastAsia="Palatino Linotype" w:hAnsi="Palatino Linotype" w:cs="Palatino Linotype"/>
          <w:sz w:val="20"/>
          <w:szCs w:val="20"/>
        </w:rPr>
        <w:t>quilombola</w:t>
      </w:r>
      <w:proofErr w:type="spellEnd"/>
      <w:r>
        <w:rPr>
          <w:rFonts w:ascii="Palatino Linotype" w:eastAsia="Palatino Linotype" w:hAnsi="Palatino Linotype" w:cs="Palatino Linotype"/>
          <w:sz w:val="20"/>
          <w:szCs w:val="20"/>
          <w:vertAlign w:val="superscript"/>
        </w:rPr>
        <w:footnoteReference w:id="1"/>
      </w:r>
      <w:r>
        <w:rPr>
          <w:rFonts w:ascii="Palatino Linotype" w:eastAsia="Palatino Linotype" w:hAnsi="Palatino Linotype" w:cs="Palatino Linotype"/>
          <w:sz w:val="20"/>
          <w:szCs w:val="20"/>
        </w:rPr>
        <w:t xml:space="preserve"> and artisanal fishing communities reside. In addition to subsistence </w:t>
      </w:r>
      <w:r>
        <w:rPr>
          <w:rFonts w:ascii="Palatino Linotype" w:eastAsia="Palatino Linotype" w:hAnsi="Palatino Linotype" w:cs="Palatino Linotype"/>
          <w:sz w:val="20"/>
          <w:szCs w:val="20"/>
        </w:rPr>
        <w:t>farming and livestock activities [97], practices such as fish farming and white shrimp production also contribute to increasing the income of local populations [71, 98, Figure S2].</w:t>
      </w:r>
    </w:p>
    <w:p w14:paraId="00000007" w14:textId="77777777" w:rsidR="0052760D" w:rsidRDefault="003D4E52">
      <w:pPr>
        <w:widowControl w:val="0"/>
        <w:spacing w:line="240" w:lineRule="auto"/>
        <w:ind w:left="100" w:right="118" w:firstLine="705"/>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The beach in this LSFR region is bordered by a submerged reef bank, result</w:t>
      </w:r>
      <w:r>
        <w:rPr>
          <w:rFonts w:ascii="Palatino Linotype" w:eastAsia="Palatino Linotype" w:hAnsi="Palatino Linotype" w:cs="Palatino Linotype"/>
          <w:sz w:val="20"/>
          <w:szCs w:val="20"/>
        </w:rPr>
        <w:t>ing in a cusp-shaped morphological feature [99]. Marine terraces are predominant from the Peba point to the northern limit of the study area [100]. The erosion is primarily caused by an imbalance in sediment balance, which has been influenced by human acti</w:t>
      </w:r>
      <w:r>
        <w:rPr>
          <w:rFonts w:ascii="Palatino Linotype" w:eastAsia="Palatino Linotype" w:hAnsi="Palatino Linotype" w:cs="Palatino Linotype"/>
          <w:sz w:val="20"/>
          <w:szCs w:val="20"/>
        </w:rPr>
        <w:t>vities, particularly the construction of dams. This has impacted the flow of sediment in the lower part of the river. The construction of 33 dams in the SFR basin, including nine in the river's course, has been linked to this issue [101-103]. [104] observe</w:t>
      </w:r>
      <w:r>
        <w:rPr>
          <w:rFonts w:ascii="Palatino Linotype" w:eastAsia="Palatino Linotype" w:hAnsi="Palatino Linotype" w:cs="Palatino Linotype"/>
          <w:sz w:val="20"/>
          <w:szCs w:val="20"/>
        </w:rPr>
        <w:t xml:space="preserve">d a significant loss of emersed area, estimated at around 80,000 m² between 1971 and 1987. This led to the destruction of the village of </w:t>
      </w:r>
      <w:proofErr w:type="spellStart"/>
      <w:r>
        <w:rPr>
          <w:rFonts w:ascii="Palatino Linotype" w:eastAsia="Palatino Linotype" w:hAnsi="Palatino Linotype" w:cs="Palatino Linotype"/>
          <w:sz w:val="20"/>
          <w:szCs w:val="20"/>
        </w:rPr>
        <w:t>Cabeço</w:t>
      </w:r>
      <w:proofErr w:type="spellEnd"/>
      <w:r>
        <w:rPr>
          <w:rFonts w:ascii="Palatino Linotype" w:eastAsia="Palatino Linotype" w:hAnsi="Palatino Linotype" w:cs="Palatino Linotype"/>
          <w:sz w:val="20"/>
          <w:szCs w:val="20"/>
        </w:rPr>
        <w:t xml:space="preserve">, situated on the bank of the river mouth in </w:t>
      </w:r>
      <w:proofErr w:type="spellStart"/>
      <w:r>
        <w:rPr>
          <w:rFonts w:ascii="Palatino Linotype" w:eastAsia="Palatino Linotype" w:hAnsi="Palatino Linotype" w:cs="Palatino Linotype"/>
          <w:sz w:val="20"/>
          <w:szCs w:val="20"/>
        </w:rPr>
        <w:t>Brejo</w:t>
      </w:r>
      <w:proofErr w:type="spellEnd"/>
      <w:r>
        <w:rPr>
          <w:rFonts w:ascii="Palatino Linotype" w:eastAsia="Palatino Linotype" w:hAnsi="Palatino Linotype" w:cs="Palatino Linotype"/>
          <w:sz w:val="20"/>
          <w:szCs w:val="20"/>
        </w:rPr>
        <w:t xml:space="preserve"> Grande, Sergipe. Human activities, such as fish ponds, shrimp </w:t>
      </w:r>
      <w:r>
        <w:rPr>
          <w:rFonts w:ascii="Palatino Linotype" w:eastAsia="Palatino Linotype" w:hAnsi="Palatino Linotype" w:cs="Palatino Linotype"/>
          <w:sz w:val="20"/>
          <w:szCs w:val="20"/>
        </w:rPr>
        <w:t>farming, cattle breeding, and agricultural cultivation, continue to take place in the coastal region of the delta, despite the economic damage caused by erosion. These occupations extend into protected areas, such as the Santa Isabel Biological Reserve and</w:t>
      </w:r>
      <w:r>
        <w:rPr>
          <w:rFonts w:ascii="Palatino Linotype" w:eastAsia="Palatino Linotype" w:hAnsi="Palatino Linotype" w:cs="Palatino Linotype"/>
          <w:sz w:val="20"/>
          <w:szCs w:val="20"/>
        </w:rPr>
        <w:t xml:space="preserve"> the </w:t>
      </w:r>
      <w:proofErr w:type="spellStart"/>
      <w:r>
        <w:rPr>
          <w:rFonts w:ascii="Palatino Linotype" w:eastAsia="Palatino Linotype" w:hAnsi="Palatino Linotype" w:cs="Palatino Linotype"/>
          <w:sz w:val="20"/>
          <w:szCs w:val="20"/>
        </w:rPr>
        <w:t>Piaçabuçu</w:t>
      </w:r>
      <w:proofErr w:type="spellEnd"/>
      <w:r>
        <w:rPr>
          <w:rFonts w:ascii="Palatino Linotype" w:eastAsia="Palatino Linotype" w:hAnsi="Palatino Linotype" w:cs="Palatino Linotype"/>
          <w:sz w:val="20"/>
          <w:szCs w:val="20"/>
        </w:rPr>
        <w:t xml:space="preserve"> Environmental Protection Area (APA) [105-107]. Due to the impact of human activities on the coastal dynamics of the São Francisco delta, it is imperative to plan the use and occupation of this region properly. These measures are essential fo</w:t>
      </w:r>
      <w:r>
        <w:rPr>
          <w:rFonts w:ascii="Palatino Linotype" w:eastAsia="Palatino Linotype" w:hAnsi="Palatino Linotype" w:cs="Palatino Linotype"/>
          <w:sz w:val="20"/>
          <w:szCs w:val="20"/>
        </w:rPr>
        <w:t>r reducing the risks associated with coastal erosion and ensuring the sustainability of human activities in this complex environment [103].</w:t>
      </w:r>
    </w:p>
    <w:p w14:paraId="00000008" w14:textId="77777777" w:rsidR="0052760D" w:rsidRDefault="0052760D">
      <w:pPr>
        <w:spacing w:line="240" w:lineRule="auto"/>
        <w:jc w:val="both"/>
        <w:rPr>
          <w:rFonts w:ascii="Times New Roman" w:eastAsia="Times New Roman" w:hAnsi="Times New Roman" w:cs="Times New Roman"/>
          <w:color w:val="4A86E8"/>
          <w:highlight w:val="white"/>
        </w:rPr>
      </w:pPr>
    </w:p>
    <w:p w14:paraId="00000009" w14:textId="77777777" w:rsidR="0052760D" w:rsidRDefault="003D4E52">
      <w:pPr>
        <w:spacing w:line="240" w:lineRule="auto"/>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Text S2. </w:t>
      </w:r>
      <w:r>
        <w:rPr>
          <w:rFonts w:ascii="Palatino Linotype" w:eastAsia="Palatino Linotype" w:hAnsi="Palatino Linotype" w:cs="Palatino Linotype"/>
          <w:sz w:val="20"/>
          <w:szCs w:val="20"/>
        </w:rPr>
        <w:t>Methodology</w:t>
      </w:r>
    </w:p>
    <w:p w14:paraId="0000000A" w14:textId="77777777" w:rsidR="0052760D" w:rsidRDefault="0052760D">
      <w:pPr>
        <w:spacing w:line="240" w:lineRule="auto"/>
        <w:rPr>
          <w:rFonts w:ascii="Palatino Linotype" w:eastAsia="Palatino Linotype" w:hAnsi="Palatino Linotype" w:cs="Palatino Linotype"/>
          <w:b/>
          <w:sz w:val="20"/>
          <w:szCs w:val="20"/>
        </w:rPr>
      </w:pPr>
    </w:p>
    <w:p w14:paraId="0000000B" w14:textId="77777777" w:rsidR="0052760D" w:rsidRDefault="003D4E52">
      <w:pPr>
        <w:widowControl w:val="0"/>
        <w:spacing w:line="240" w:lineRule="auto"/>
        <w:ind w:left="100" w:right="118" w:firstLine="72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Fifty-six specimens were </w:t>
      </w:r>
      <w:proofErr w:type="spellStart"/>
      <w:r>
        <w:rPr>
          <w:rFonts w:ascii="Palatino Linotype" w:eastAsia="Palatino Linotype" w:hAnsi="Palatino Linotype" w:cs="Palatino Linotype"/>
          <w:sz w:val="20"/>
          <w:szCs w:val="20"/>
        </w:rPr>
        <w:t>analysed</w:t>
      </w:r>
      <w:proofErr w:type="spellEnd"/>
      <w:r>
        <w:rPr>
          <w:rFonts w:ascii="Palatino Linotype" w:eastAsia="Palatino Linotype" w:hAnsi="Palatino Linotype" w:cs="Palatino Linotype"/>
          <w:sz w:val="20"/>
          <w:szCs w:val="20"/>
        </w:rPr>
        <w:t xml:space="preserve"> using the phenol-chloroform protocol by [57], with adaptati</w:t>
      </w:r>
      <w:r>
        <w:rPr>
          <w:rFonts w:ascii="Palatino Linotype" w:eastAsia="Palatino Linotype" w:hAnsi="Palatino Linotype" w:cs="Palatino Linotype"/>
          <w:sz w:val="20"/>
          <w:szCs w:val="20"/>
        </w:rPr>
        <w:t xml:space="preserve">ons. The mitochondrial gene </w:t>
      </w:r>
      <w:r>
        <w:rPr>
          <w:rFonts w:ascii="Palatino Linotype" w:eastAsia="Palatino Linotype" w:hAnsi="Palatino Linotype" w:cs="Palatino Linotype"/>
          <w:i/>
          <w:sz w:val="20"/>
          <w:szCs w:val="20"/>
        </w:rPr>
        <w:t>Cox</w:t>
      </w:r>
      <w:r>
        <w:rPr>
          <w:rFonts w:ascii="Palatino Linotype" w:eastAsia="Palatino Linotype" w:hAnsi="Palatino Linotype" w:cs="Palatino Linotype"/>
          <w:sz w:val="20"/>
          <w:szCs w:val="20"/>
        </w:rPr>
        <w:t xml:space="preserve">1 fragment was amplified using primers LCOCI1490: 5’-GGTCAACAAATCATAAAGATATTGG-3’ and HCOCI2198: 5’-TAAACTTCAGGGTGACCAAAAAATCA-3’ [58]. Polymerase Chain Reaction (PCR) was performed according to a protocol described by [49], </w:t>
      </w:r>
      <w:r>
        <w:rPr>
          <w:rFonts w:ascii="Palatino Linotype" w:eastAsia="Palatino Linotype" w:hAnsi="Palatino Linotype" w:cs="Palatino Linotype"/>
          <w:sz w:val="20"/>
          <w:szCs w:val="20"/>
        </w:rPr>
        <w:t>consisting of an initial denaturation step at 95.0°C for 5 min, followed by 35 cycles at 92,0°C for 30s, 51,0°C for 30s and 72,0°C for 30s, and a final extension at 72,0°C for 2 min. PCR was performed in a final volume (50 µL) containing primers (100 ng/µL</w:t>
      </w:r>
      <w:r>
        <w:rPr>
          <w:rFonts w:ascii="Palatino Linotype" w:eastAsia="Palatino Linotype" w:hAnsi="Palatino Linotype" w:cs="Palatino Linotype"/>
          <w:sz w:val="20"/>
          <w:szCs w:val="20"/>
        </w:rPr>
        <w:t>), MgCl2 (2 mM), dNTP (1.25 mM), amplification buffer (1 X), 1 U/</w:t>
      </w:r>
      <w:proofErr w:type="spellStart"/>
      <w:r>
        <w:rPr>
          <w:rFonts w:ascii="Palatino Linotype" w:eastAsia="Palatino Linotype" w:hAnsi="Palatino Linotype" w:cs="Palatino Linotype"/>
          <w:sz w:val="20"/>
          <w:szCs w:val="20"/>
        </w:rPr>
        <w:t>μL</w:t>
      </w:r>
      <w:proofErr w:type="spellEnd"/>
      <w:r>
        <w:rPr>
          <w:rFonts w:ascii="Palatino Linotype" w:eastAsia="Palatino Linotype" w:hAnsi="Palatino Linotype" w:cs="Palatino Linotype"/>
          <w:sz w:val="20"/>
          <w:szCs w:val="20"/>
        </w:rPr>
        <w:t xml:space="preserve"> Taq polymerase (</w:t>
      </w:r>
      <w:proofErr w:type="spellStart"/>
      <w:r>
        <w:rPr>
          <w:rFonts w:ascii="Palatino Linotype" w:eastAsia="Palatino Linotype" w:hAnsi="Palatino Linotype" w:cs="Palatino Linotype"/>
          <w:sz w:val="20"/>
          <w:szCs w:val="20"/>
        </w:rPr>
        <w:t>Sinapse</w:t>
      </w:r>
      <w:proofErr w:type="spellEnd"/>
      <w:r>
        <w:rPr>
          <w:rFonts w:ascii="Palatino Linotype" w:eastAsia="Palatino Linotype" w:hAnsi="Palatino Linotype" w:cs="Palatino Linotype"/>
          <w:sz w:val="20"/>
          <w:szCs w:val="20"/>
        </w:rPr>
        <w:t xml:space="preserve"> INC Biotech®), 30-40 ng total DNA - ultrapure water was used to complete the final volume [59]. The PCR product was purified using the </w:t>
      </w:r>
      <w:r>
        <w:rPr>
          <w:rFonts w:ascii="Palatino Linotype" w:eastAsia="Palatino Linotype" w:hAnsi="Palatino Linotype" w:cs="Palatino Linotype"/>
          <w:i/>
          <w:sz w:val="20"/>
          <w:szCs w:val="20"/>
        </w:rPr>
        <w:t>GFX</w:t>
      </w:r>
      <w:r>
        <w:rPr>
          <w:rFonts w:ascii="Palatino Linotype" w:eastAsia="Palatino Linotype" w:hAnsi="Palatino Linotype" w:cs="Palatino Linotype"/>
          <w:i/>
          <w:sz w:val="20"/>
          <w:szCs w:val="20"/>
          <w:vertAlign w:val="superscript"/>
        </w:rPr>
        <w:t>™</w:t>
      </w:r>
      <w:r>
        <w:rPr>
          <w:rFonts w:ascii="Palatino Linotype" w:eastAsia="Palatino Linotype" w:hAnsi="Palatino Linotype" w:cs="Palatino Linotype"/>
          <w:sz w:val="20"/>
          <w:szCs w:val="20"/>
        </w:rPr>
        <w:t xml:space="preserve">PCR DNA and Gel Band kit </w:t>
      </w:r>
      <w:r>
        <w:rPr>
          <w:rFonts w:ascii="Palatino Linotype" w:eastAsia="Palatino Linotype" w:hAnsi="Palatino Linotype" w:cs="Palatino Linotype"/>
          <w:sz w:val="20"/>
          <w:szCs w:val="20"/>
        </w:rPr>
        <w:t>according to the manufacturer's recommendations (</w:t>
      </w:r>
      <w:r>
        <w:rPr>
          <w:rFonts w:ascii="Palatino Linotype" w:eastAsia="Palatino Linotype" w:hAnsi="Palatino Linotype" w:cs="Palatino Linotype"/>
          <w:i/>
          <w:sz w:val="20"/>
          <w:szCs w:val="20"/>
        </w:rPr>
        <w:t>GE Healthcare©</w:t>
      </w:r>
      <w:r>
        <w:rPr>
          <w:rFonts w:ascii="Palatino Linotype" w:eastAsia="Palatino Linotype" w:hAnsi="Palatino Linotype" w:cs="Palatino Linotype"/>
          <w:sz w:val="20"/>
          <w:szCs w:val="20"/>
        </w:rPr>
        <w:t xml:space="preserve">) and </w:t>
      </w:r>
      <w:proofErr w:type="spellStart"/>
      <w:r>
        <w:rPr>
          <w:rFonts w:ascii="Palatino Linotype" w:eastAsia="Palatino Linotype" w:hAnsi="Palatino Linotype" w:cs="Palatino Linotype"/>
          <w:sz w:val="20"/>
          <w:szCs w:val="20"/>
        </w:rPr>
        <w:t>visualised</w:t>
      </w:r>
      <w:proofErr w:type="spellEnd"/>
      <w:r>
        <w:rPr>
          <w:rFonts w:ascii="Palatino Linotype" w:eastAsia="Palatino Linotype" w:hAnsi="Palatino Linotype" w:cs="Palatino Linotype"/>
          <w:sz w:val="20"/>
          <w:szCs w:val="20"/>
        </w:rPr>
        <w:t xml:space="preserve"> on a 1% agarose gel. Subsequently, amplified fragments (both strands) of all specimens were sequenced in the automatic </w:t>
      </w:r>
      <w:r>
        <w:rPr>
          <w:rFonts w:ascii="Palatino Linotype" w:eastAsia="Palatino Linotype" w:hAnsi="Palatino Linotype" w:cs="Palatino Linotype"/>
          <w:i/>
          <w:sz w:val="20"/>
          <w:szCs w:val="20"/>
        </w:rPr>
        <w:t xml:space="preserve">ABI PRISM </w:t>
      </w:r>
      <w:r>
        <w:rPr>
          <w:rFonts w:ascii="Palatino Linotype" w:eastAsia="Palatino Linotype" w:hAnsi="Palatino Linotype" w:cs="Palatino Linotype"/>
          <w:i/>
          <w:sz w:val="20"/>
          <w:szCs w:val="20"/>
          <w:vertAlign w:val="superscript"/>
        </w:rPr>
        <w:t>TM</w:t>
      </w:r>
      <w:r>
        <w:rPr>
          <w:rFonts w:ascii="Palatino Linotype" w:eastAsia="Palatino Linotype" w:hAnsi="Palatino Linotype" w:cs="Palatino Linotype"/>
          <w:i/>
          <w:sz w:val="20"/>
          <w:szCs w:val="20"/>
        </w:rPr>
        <w:t xml:space="preserve"> 377 DNA Sequencer </w:t>
      </w:r>
      <w:r>
        <w:rPr>
          <w:rFonts w:ascii="Palatino Linotype" w:eastAsia="Palatino Linotype" w:hAnsi="Palatino Linotype" w:cs="Palatino Linotype"/>
          <w:sz w:val="20"/>
          <w:szCs w:val="20"/>
        </w:rPr>
        <w:t xml:space="preserve">by </w:t>
      </w:r>
      <w:proofErr w:type="spellStart"/>
      <w:r>
        <w:rPr>
          <w:rFonts w:ascii="Palatino Linotype" w:eastAsia="Palatino Linotype" w:hAnsi="Palatino Linotype" w:cs="Palatino Linotype"/>
          <w:i/>
          <w:sz w:val="20"/>
          <w:szCs w:val="20"/>
        </w:rPr>
        <w:t>Macrogen</w:t>
      </w:r>
      <w:proofErr w:type="spellEnd"/>
      <w:r>
        <w:rPr>
          <w:rFonts w:ascii="Palatino Linotype" w:eastAsia="Palatino Linotype" w:hAnsi="Palatino Linotype" w:cs="Palatino Linotype"/>
          <w:i/>
          <w:sz w:val="20"/>
          <w:szCs w:val="20"/>
        </w:rPr>
        <w:t xml:space="preserve"> </w:t>
      </w:r>
      <w:r>
        <w:rPr>
          <w:rFonts w:ascii="Palatino Linotype" w:eastAsia="Palatino Linotype" w:hAnsi="Palatino Linotype" w:cs="Palatino Linotype"/>
          <w:sz w:val="20"/>
          <w:szCs w:val="20"/>
        </w:rPr>
        <w:t>(</w:t>
      </w:r>
      <w:hyperlink r:id="rId6">
        <w:r>
          <w:rPr>
            <w:rFonts w:ascii="Palatino Linotype" w:eastAsia="Palatino Linotype" w:hAnsi="Palatino Linotype" w:cs="Palatino Linotype"/>
            <w:sz w:val="20"/>
            <w:szCs w:val="20"/>
            <w:u w:val="single"/>
          </w:rPr>
          <w:t>www.Macrogen.com</w:t>
        </w:r>
      </w:hyperlink>
      <w:r>
        <w:rPr>
          <w:rFonts w:ascii="Palatino Linotype" w:eastAsia="Palatino Linotype" w:hAnsi="Palatino Linotype" w:cs="Palatino Linotype"/>
          <w:sz w:val="20"/>
          <w:szCs w:val="20"/>
        </w:rPr>
        <w:t xml:space="preserve">) After sequencing, all electropherograms were checked manually. Finally, consensus strings were generated in MEGA 10.2.2 software [108] and compared with reference </w:t>
      </w:r>
      <w:r>
        <w:rPr>
          <w:rFonts w:ascii="Palatino Linotype" w:eastAsia="Palatino Linotype" w:hAnsi="Palatino Linotype" w:cs="Palatino Linotype"/>
          <w:i/>
          <w:sz w:val="20"/>
          <w:szCs w:val="20"/>
        </w:rPr>
        <w:t xml:space="preserve">L. </w:t>
      </w:r>
      <w:proofErr w:type="spellStart"/>
      <w:r>
        <w:rPr>
          <w:rFonts w:ascii="Palatino Linotype" w:eastAsia="Palatino Linotype" w:hAnsi="Palatino Linotype" w:cs="Palatino Linotype"/>
          <w:i/>
          <w:sz w:val="20"/>
          <w:szCs w:val="20"/>
        </w:rPr>
        <w:t>fortunei</w:t>
      </w:r>
      <w:proofErr w:type="spellEnd"/>
      <w:r>
        <w:rPr>
          <w:rFonts w:ascii="Palatino Linotype" w:eastAsia="Palatino Linotype" w:hAnsi="Palatino Linotype" w:cs="Palatino Linotype"/>
          <w:sz w:val="20"/>
          <w:szCs w:val="20"/>
        </w:rPr>
        <w:t xml:space="preserve"> sequences available in GenBank (</w:t>
      </w:r>
      <w:hyperlink r:id="rId7">
        <w:r>
          <w:rPr>
            <w:rFonts w:ascii="Palatino Linotype" w:eastAsia="Palatino Linotype" w:hAnsi="Palatino Linotype" w:cs="Palatino Linotype"/>
            <w:sz w:val="20"/>
            <w:szCs w:val="20"/>
            <w:u w:val="single"/>
          </w:rPr>
          <w:t>www.ncbi.nlm.nih.gov/nuccore/</w:t>
        </w:r>
      </w:hyperlink>
      <w:r>
        <w:rPr>
          <w:rFonts w:ascii="Palatino Linotype" w:eastAsia="Palatino Linotype" w:hAnsi="Palatino Linotype" w:cs="Palatino Linotype"/>
          <w:sz w:val="20"/>
          <w:szCs w:val="20"/>
        </w:rPr>
        <w:t xml:space="preserve">) - the </w:t>
      </w:r>
      <w:proofErr w:type="spellStart"/>
      <w:r>
        <w:rPr>
          <w:rFonts w:ascii="Palatino Linotype" w:eastAsia="Palatino Linotype" w:hAnsi="Palatino Linotype" w:cs="Palatino Linotype"/>
          <w:sz w:val="20"/>
          <w:szCs w:val="20"/>
        </w:rPr>
        <w:t>BLASTn</w:t>
      </w:r>
      <w:proofErr w:type="spellEnd"/>
      <w:r>
        <w:rPr>
          <w:rFonts w:ascii="Palatino Linotype" w:eastAsia="Palatino Linotype" w:hAnsi="Palatino Linotype" w:cs="Palatino Linotype"/>
          <w:sz w:val="20"/>
          <w:szCs w:val="20"/>
        </w:rPr>
        <w:t xml:space="preserve"> tool (</w:t>
      </w:r>
      <w:hyperlink r:id="rId8">
        <w:r>
          <w:rPr>
            <w:rFonts w:ascii="Palatino Linotype" w:eastAsia="Palatino Linotype" w:hAnsi="Palatino Linotype" w:cs="Palatino Linotype"/>
            <w:sz w:val="20"/>
            <w:szCs w:val="20"/>
            <w:u w:val="single"/>
          </w:rPr>
          <w:t>www.ncbi.nlm.nih.gov/BLAST/</w:t>
        </w:r>
      </w:hyperlink>
      <w:r>
        <w:rPr>
          <w:rFonts w:ascii="Palatino Linotype" w:eastAsia="Palatino Linotype" w:hAnsi="Palatino Linotype" w:cs="Palatino Linotype"/>
          <w:sz w:val="20"/>
          <w:szCs w:val="20"/>
        </w:rPr>
        <w:t xml:space="preserve">) was used to confirm the identity of haplotypes (Figure 2; </w:t>
      </w:r>
      <w:r>
        <w:rPr>
          <w:rFonts w:ascii="Palatino Linotype" w:eastAsia="Palatino Linotype" w:hAnsi="Palatino Linotype" w:cs="Palatino Linotype"/>
          <w:sz w:val="20"/>
          <w:szCs w:val="20"/>
        </w:rPr>
        <w:lastRenderedPageBreak/>
        <w:t>Supplemen</w:t>
      </w:r>
      <w:r>
        <w:rPr>
          <w:rFonts w:ascii="Palatino Linotype" w:eastAsia="Palatino Linotype" w:hAnsi="Palatino Linotype" w:cs="Palatino Linotype"/>
          <w:sz w:val="20"/>
          <w:szCs w:val="20"/>
        </w:rPr>
        <w:t xml:space="preserve">tary material - Table S2), according to [45,48]. Two sequences for </w:t>
      </w:r>
      <w:proofErr w:type="spellStart"/>
      <w:r>
        <w:rPr>
          <w:rFonts w:ascii="Palatino Linotype" w:eastAsia="Palatino Linotype" w:hAnsi="Palatino Linotype" w:cs="Palatino Linotype"/>
          <w:i/>
          <w:sz w:val="20"/>
          <w:szCs w:val="20"/>
        </w:rPr>
        <w:t>Lithophaga</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curta</w:t>
      </w:r>
      <w:proofErr w:type="spellEnd"/>
      <w:r>
        <w:rPr>
          <w:rFonts w:ascii="Palatino Linotype" w:eastAsia="Palatino Linotype" w:hAnsi="Palatino Linotype" w:cs="Palatino Linotype"/>
          <w:sz w:val="20"/>
          <w:szCs w:val="20"/>
        </w:rPr>
        <w:t xml:space="preserve"> were used as an outgroup (</w:t>
      </w:r>
      <w:proofErr w:type="spellStart"/>
      <w:r>
        <w:rPr>
          <w:rFonts w:ascii="Palatino Linotype" w:eastAsia="Palatino Linotype" w:hAnsi="Palatino Linotype" w:cs="Palatino Linotype"/>
          <w:sz w:val="20"/>
          <w:szCs w:val="20"/>
        </w:rPr>
        <w:t>Genbank</w:t>
      </w:r>
      <w:proofErr w:type="spellEnd"/>
      <w:r>
        <w:rPr>
          <w:rFonts w:ascii="Palatino Linotype" w:eastAsia="Palatino Linotype" w:hAnsi="Palatino Linotype" w:cs="Palatino Linotype"/>
          <w:sz w:val="20"/>
          <w:szCs w:val="20"/>
        </w:rPr>
        <w:t xml:space="preserve"> accession numbers: AB076944; MK727546).</w:t>
      </w:r>
    </w:p>
    <w:p w14:paraId="0000000C" w14:textId="77777777" w:rsidR="0052760D" w:rsidRDefault="003D4E52">
      <w:pPr>
        <w:widowControl w:val="0"/>
        <w:spacing w:line="240" w:lineRule="auto"/>
        <w:ind w:left="100" w:right="119" w:firstLine="720"/>
        <w:jc w:val="both"/>
        <w:rPr>
          <w:rFonts w:ascii="Times New Roman" w:eastAsia="Times New Roman" w:hAnsi="Times New Roman" w:cs="Times New Roman"/>
          <w:sz w:val="24"/>
          <w:szCs w:val="24"/>
        </w:rPr>
      </w:pPr>
      <w:r>
        <w:rPr>
          <w:rFonts w:ascii="Palatino Linotype" w:eastAsia="Palatino Linotype" w:hAnsi="Palatino Linotype" w:cs="Palatino Linotype"/>
          <w:sz w:val="20"/>
          <w:szCs w:val="20"/>
        </w:rPr>
        <w:t xml:space="preserve">Genetic distances were estimated using the Kimura 2-parameter evolutionary model (K2P) [109]. A </w:t>
      </w:r>
      <w:proofErr w:type="spellStart"/>
      <w:r>
        <w:rPr>
          <w:rFonts w:ascii="Palatino Linotype" w:eastAsia="Palatino Linotype" w:hAnsi="Palatino Linotype" w:cs="Palatino Linotype"/>
          <w:sz w:val="20"/>
          <w:szCs w:val="20"/>
        </w:rPr>
        <w:t>Ne</w:t>
      </w:r>
      <w:r>
        <w:rPr>
          <w:rFonts w:ascii="Palatino Linotype" w:eastAsia="Palatino Linotype" w:hAnsi="Palatino Linotype" w:cs="Palatino Linotype"/>
          <w:sz w:val="20"/>
          <w:szCs w:val="20"/>
        </w:rPr>
        <w:t>ighbour</w:t>
      </w:r>
      <w:proofErr w:type="spellEnd"/>
      <w:r>
        <w:rPr>
          <w:rFonts w:ascii="Palatino Linotype" w:eastAsia="Palatino Linotype" w:hAnsi="Palatino Linotype" w:cs="Palatino Linotype"/>
          <w:sz w:val="20"/>
          <w:szCs w:val="20"/>
        </w:rPr>
        <w:t xml:space="preserve">-Joining (NJ) tree [110] was constructed using this model for graphical representation. Clade support was assessed by 1000 bootstrap </w:t>
      </w:r>
      <w:proofErr w:type="spellStart"/>
      <w:r>
        <w:rPr>
          <w:rFonts w:ascii="Palatino Linotype" w:eastAsia="Palatino Linotype" w:hAnsi="Palatino Linotype" w:cs="Palatino Linotype"/>
          <w:sz w:val="20"/>
          <w:szCs w:val="20"/>
        </w:rPr>
        <w:t>pseudoreplicates</w:t>
      </w:r>
      <w:proofErr w:type="spellEnd"/>
      <w:r>
        <w:rPr>
          <w:rFonts w:ascii="Palatino Linotype" w:eastAsia="Palatino Linotype" w:hAnsi="Palatino Linotype" w:cs="Palatino Linotype"/>
          <w:sz w:val="20"/>
          <w:szCs w:val="20"/>
        </w:rPr>
        <w:t xml:space="preserve"> using MEGA 10.2.2 [108] following [111]. Given the criticism of using K2P as a surrogate model [112</w:t>
      </w:r>
      <w:r>
        <w:rPr>
          <w:rFonts w:ascii="Palatino Linotype" w:eastAsia="Palatino Linotype" w:hAnsi="Palatino Linotype" w:cs="Palatino Linotype"/>
          <w:sz w:val="20"/>
          <w:szCs w:val="20"/>
        </w:rPr>
        <w:t>] proposed by [113], we used p-distance. The best molecular evolution model (HKY+G) with Akaike Information Criterion, corrected (</w:t>
      </w:r>
      <w:proofErr w:type="spellStart"/>
      <w:r>
        <w:rPr>
          <w:rFonts w:ascii="Palatino Linotype" w:eastAsia="Palatino Linotype" w:hAnsi="Palatino Linotype" w:cs="Palatino Linotype"/>
          <w:sz w:val="20"/>
          <w:szCs w:val="20"/>
        </w:rPr>
        <w:t>AICc</w:t>
      </w:r>
      <w:proofErr w:type="spellEnd"/>
      <w:r>
        <w:rPr>
          <w:rFonts w:ascii="Palatino Linotype" w:eastAsia="Palatino Linotype" w:hAnsi="Palatino Linotype" w:cs="Palatino Linotype"/>
          <w:sz w:val="20"/>
          <w:szCs w:val="20"/>
        </w:rPr>
        <w:t xml:space="preserve">) using </w:t>
      </w:r>
      <w:proofErr w:type="spellStart"/>
      <w:r>
        <w:rPr>
          <w:rFonts w:ascii="Palatino Linotype" w:eastAsia="Palatino Linotype" w:hAnsi="Palatino Linotype" w:cs="Palatino Linotype"/>
          <w:sz w:val="20"/>
          <w:szCs w:val="20"/>
        </w:rPr>
        <w:t>jModelTest</w:t>
      </w:r>
      <w:proofErr w:type="spellEnd"/>
      <w:r>
        <w:rPr>
          <w:rFonts w:ascii="Palatino Linotype" w:eastAsia="Palatino Linotype" w:hAnsi="Palatino Linotype" w:cs="Palatino Linotype"/>
          <w:sz w:val="20"/>
          <w:szCs w:val="20"/>
        </w:rPr>
        <w:t xml:space="preserve"> software [114]. The Automated Barcode Gap Discovery (ABGD) method [115] was used to detect the potentia</w:t>
      </w:r>
      <w:r>
        <w:rPr>
          <w:rFonts w:ascii="Palatino Linotype" w:eastAsia="Palatino Linotype" w:hAnsi="Palatino Linotype" w:cs="Palatino Linotype"/>
          <w:sz w:val="20"/>
          <w:szCs w:val="20"/>
        </w:rPr>
        <w:t xml:space="preserve">l gap in the barcodes and to separate the data into different groups for </w:t>
      </w:r>
      <w:r>
        <w:rPr>
          <w:rFonts w:ascii="Palatino Linotype" w:eastAsia="Palatino Linotype" w:hAnsi="Palatino Linotype" w:cs="Palatino Linotype"/>
          <w:i/>
          <w:sz w:val="20"/>
          <w:szCs w:val="20"/>
        </w:rPr>
        <w:t>Cox</w:t>
      </w:r>
      <w:r>
        <w:rPr>
          <w:rFonts w:ascii="Palatino Linotype" w:eastAsia="Palatino Linotype" w:hAnsi="Palatino Linotype" w:cs="Palatino Linotype"/>
          <w:sz w:val="20"/>
          <w:szCs w:val="20"/>
        </w:rPr>
        <w:t>1 sequences. This analysis was performed on a web interface (</w:t>
      </w:r>
      <w:hyperlink r:id="rId9">
        <w:r>
          <w:rPr>
            <w:rFonts w:ascii="Palatino Linotype" w:eastAsia="Palatino Linotype" w:hAnsi="Palatino Linotype" w:cs="Palatino Linotype"/>
            <w:sz w:val="20"/>
            <w:szCs w:val="20"/>
            <w:u w:val="single"/>
          </w:rPr>
          <w:t>https://bioinfo.mnhn.fr/abi/public/abgd/</w:t>
        </w:r>
      </w:hyperlink>
      <w:r>
        <w:rPr>
          <w:rFonts w:ascii="Palatino Linotype" w:eastAsia="Palatino Linotype" w:hAnsi="Palatino Linotype" w:cs="Palatino Linotype"/>
          <w:sz w:val="20"/>
          <w:szCs w:val="20"/>
        </w:rPr>
        <w:t xml:space="preserve">) using the simple </w:t>
      </w:r>
      <w:r>
        <w:rPr>
          <w:rFonts w:ascii="Palatino Linotype" w:eastAsia="Palatino Linotype" w:hAnsi="Palatino Linotype" w:cs="Palatino Linotype"/>
          <w:sz w:val="20"/>
          <w:szCs w:val="20"/>
        </w:rPr>
        <w:t xml:space="preserve">distance model (p-distance) with a gap of 1.5. The maximum intraspecific divergence (P) value was set between 0.001 and 0.1, and the number of recursive steps is the default (10). </w:t>
      </w:r>
      <w:proofErr w:type="spellStart"/>
      <w:r>
        <w:rPr>
          <w:rFonts w:ascii="Palatino Linotype" w:eastAsia="Palatino Linotype" w:hAnsi="Palatino Linotype" w:cs="Palatino Linotype"/>
          <w:sz w:val="20"/>
          <w:szCs w:val="20"/>
        </w:rPr>
        <w:t>Mr</w:t>
      </w:r>
      <w:proofErr w:type="spellEnd"/>
      <w:r>
        <w:rPr>
          <w:rFonts w:ascii="Palatino Linotype" w:eastAsia="Palatino Linotype" w:hAnsi="Palatino Linotype" w:cs="Palatino Linotype"/>
          <w:sz w:val="20"/>
          <w:szCs w:val="20"/>
        </w:rPr>
        <w:t xml:space="preserve"> Bayes v.3.2.6 [116] was used to construct the tree. As the differences be</w:t>
      </w:r>
      <w:r>
        <w:rPr>
          <w:rFonts w:ascii="Palatino Linotype" w:eastAsia="Palatino Linotype" w:hAnsi="Palatino Linotype" w:cs="Palatino Linotype"/>
          <w:sz w:val="20"/>
          <w:szCs w:val="20"/>
        </w:rPr>
        <w:t xml:space="preserve">tween the models were minimal, both in terms of estimated genetic divergence and tree topology, we represented the HKI+5G molecular evolution model. Visualization and editing of clades were performed in </w:t>
      </w:r>
      <w:proofErr w:type="spellStart"/>
      <w:r>
        <w:rPr>
          <w:rFonts w:ascii="Palatino Linotype" w:eastAsia="Palatino Linotype" w:hAnsi="Palatino Linotype" w:cs="Palatino Linotype"/>
          <w:sz w:val="20"/>
          <w:szCs w:val="20"/>
        </w:rPr>
        <w:t>FigTree</w:t>
      </w:r>
      <w:proofErr w:type="spellEnd"/>
      <w:r>
        <w:rPr>
          <w:rFonts w:ascii="Palatino Linotype" w:eastAsia="Palatino Linotype" w:hAnsi="Palatino Linotype" w:cs="Palatino Linotype"/>
          <w:sz w:val="20"/>
          <w:szCs w:val="20"/>
        </w:rPr>
        <w:t xml:space="preserve"> v1.4.2 [117].</w:t>
      </w:r>
    </w:p>
    <w:sectPr w:rsidR="0052760D">
      <w:pgSz w:w="12240" w:h="15840"/>
      <w:pgMar w:top="585"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B53CA" w14:textId="77777777" w:rsidR="003D4E52" w:rsidRDefault="003D4E52">
      <w:pPr>
        <w:spacing w:line="240" w:lineRule="auto"/>
      </w:pPr>
      <w:r>
        <w:separator/>
      </w:r>
    </w:p>
  </w:endnote>
  <w:endnote w:type="continuationSeparator" w:id="0">
    <w:p w14:paraId="678929DD" w14:textId="77777777" w:rsidR="003D4E52" w:rsidRDefault="003D4E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69533" w14:textId="77777777" w:rsidR="003D4E52" w:rsidRDefault="003D4E52">
      <w:pPr>
        <w:spacing w:line="240" w:lineRule="auto"/>
      </w:pPr>
      <w:r>
        <w:separator/>
      </w:r>
    </w:p>
  </w:footnote>
  <w:footnote w:type="continuationSeparator" w:id="0">
    <w:p w14:paraId="1E7DA395" w14:textId="77777777" w:rsidR="003D4E52" w:rsidRDefault="003D4E52">
      <w:pPr>
        <w:spacing w:line="240" w:lineRule="auto"/>
      </w:pPr>
      <w:r>
        <w:continuationSeparator/>
      </w:r>
    </w:p>
  </w:footnote>
  <w:footnote w:id="1">
    <w:p w14:paraId="0000000D" w14:textId="77777777" w:rsidR="0052760D" w:rsidRDefault="003D4E52">
      <w:pPr>
        <w:spacing w:line="240" w:lineRule="auto"/>
        <w:jc w:val="both"/>
        <w:rPr>
          <w:rFonts w:ascii="Calibri" w:eastAsia="Calibri" w:hAnsi="Calibri" w:cs="Calibri"/>
          <w:sz w:val="16"/>
          <w:szCs w:val="16"/>
        </w:rPr>
      </w:pPr>
      <w:r>
        <w:rPr>
          <w:vertAlign w:val="superscript"/>
        </w:rPr>
        <w:footnoteRef/>
      </w:r>
      <w:r>
        <w:rPr>
          <w:rFonts w:ascii="Calibri" w:eastAsia="Calibri" w:hAnsi="Calibri" w:cs="Calibri"/>
          <w:sz w:val="20"/>
          <w:szCs w:val="20"/>
        </w:rPr>
        <w:t xml:space="preserve"> </w:t>
      </w:r>
      <w:proofErr w:type="spellStart"/>
      <w:r>
        <w:rPr>
          <w:rFonts w:ascii="Times New Roman" w:eastAsia="Times New Roman" w:hAnsi="Times New Roman" w:cs="Times New Roman"/>
          <w:sz w:val="16"/>
          <w:szCs w:val="16"/>
        </w:rPr>
        <w:t>Quilombola</w:t>
      </w:r>
      <w:proofErr w:type="spellEnd"/>
      <w:r>
        <w:rPr>
          <w:rFonts w:ascii="Times New Roman" w:eastAsia="Times New Roman" w:hAnsi="Times New Roman" w:cs="Times New Roman"/>
          <w:sz w:val="16"/>
          <w:szCs w:val="16"/>
        </w:rPr>
        <w:t xml:space="preserve"> communities are et</w:t>
      </w:r>
      <w:r>
        <w:rPr>
          <w:rFonts w:ascii="Times New Roman" w:eastAsia="Times New Roman" w:hAnsi="Times New Roman" w:cs="Times New Roman"/>
          <w:sz w:val="16"/>
          <w:szCs w:val="16"/>
        </w:rPr>
        <w:t>hnic groups primarily composed of rural or urban black populations. Their members are descendants of former slaves and define themselves in terms of specific relationships with the land, kinship, territory, ancestry, and their own cultural traditions and p</w:t>
      </w:r>
      <w:r>
        <w:rPr>
          <w:rFonts w:ascii="Times New Roman" w:eastAsia="Times New Roman" w:hAnsi="Times New Roman" w:cs="Times New Roman"/>
          <w:sz w:val="16"/>
          <w:szCs w:val="16"/>
        </w:rPr>
        <w:t>ractices.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60D"/>
    <w:rsid w:val="003D4E52"/>
    <w:rsid w:val="0052760D"/>
    <w:rsid w:val="005F5C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32A99-189F-4D46-B2F1-FC80333B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ncbi.nlm.nih.gov/BLAST/" TargetMode="External"/><Relationship Id="rId3" Type="http://schemas.openxmlformats.org/officeDocument/2006/relationships/webSettings" Target="webSettings.xml"/><Relationship Id="rId7" Type="http://schemas.openxmlformats.org/officeDocument/2006/relationships/hyperlink" Target="http://www.ncbi.nlm.nih.gov/nucco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croge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bioinfo.mnhn.fr/abi/public/abg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887</Words>
  <Characters>4792</Characters>
  <Application>Microsoft Office Word</Application>
  <DocSecurity>0</DocSecurity>
  <Lines>39</Lines>
  <Paragraphs>11</Paragraphs>
  <ScaleCrop>false</ScaleCrop>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Roberto Artoni</cp:lastModifiedBy>
  <cp:revision>2</cp:revision>
  <dcterms:created xsi:type="dcterms:W3CDTF">2024-09-27T21:40:00Z</dcterms:created>
  <dcterms:modified xsi:type="dcterms:W3CDTF">2024-09-27T21:40:00Z</dcterms:modified>
</cp:coreProperties>
</file>