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5269FD" w14:textId="332A9308" w:rsidR="000D6839" w:rsidRPr="006563C1" w:rsidRDefault="00A76D7C" w:rsidP="000D6839">
      <w:pPr>
        <w:pStyle w:val="MDPI11articletype"/>
      </w:pPr>
      <w:r w:rsidRPr="006563C1">
        <w:t xml:space="preserve">Article - </w:t>
      </w:r>
      <w:r w:rsidR="00341EAD" w:rsidRPr="006563C1">
        <w:t>Supplementary Materials</w:t>
      </w:r>
    </w:p>
    <w:p w14:paraId="32B8E740" w14:textId="26814B96" w:rsidR="000D6839" w:rsidRPr="006563C1" w:rsidRDefault="002C42C2" w:rsidP="000D6839">
      <w:pPr>
        <w:pStyle w:val="MDPI12title"/>
      </w:pPr>
      <w:r w:rsidRPr="006563C1">
        <w:t>TRBP, a Major Component of the RNAi Machinery, is Subjected to Cell Cycle-dependent Regulation in Human Cancer Cells of Diverse Tissue Origin</w:t>
      </w:r>
    </w:p>
    <w:p w14:paraId="7A8C6201" w14:textId="6DC5BE11" w:rsidR="00182BC6" w:rsidRPr="006563C1" w:rsidRDefault="002C42C2" w:rsidP="002C42C2">
      <w:pPr>
        <w:pStyle w:val="MDPI13authornames"/>
      </w:pPr>
      <w:r w:rsidRPr="006563C1">
        <w:t>Eleni I. Theotoki</w:t>
      </w:r>
      <w:r w:rsidRPr="006563C1">
        <w:rPr>
          <w:vertAlign w:val="superscript"/>
        </w:rPr>
        <w:t>1,2</w:t>
      </w:r>
      <w:r w:rsidRPr="006563C1">
        <w:t>, Panos Kakoulidis</w:t>
      </w:r>
      <w:r w:rsidRPr="006563C1">
        <w:rPr>
          <w:vertAlign w:val="superscript"/>
        </w:rPr>
        <w:t>2,3</w:t>
      </w:r>
      <w:r w:rsidRPr="006563C1">
        <w:t>, Athanassios D. Velentzas</w:t>
      </w:r>
      <w:r w:rsidRPr="006563C1">
        <w:rPr>
          <w:vertAlign w:val="superscript"/>
        </w:rPr>
        <w:t>1</w:t>
      </w:r>
      <w:r w:rsidRPr="006563C1">
        <w:t>, Konstantinos-Stylianos Nikolakopoulos</w:t>
      </w:r>
      <w:r w:rsidRPr="006563C1">
        <w:rPr>
          <w:vertAlign w:val="superscript"/>
        </w:rPr>
        <w:t>1</w:t>
      </w:r>
      <w:r w:rsidRPr="006563C1">
        <w:t>, Nikolaos V. Angelis</w:t>
      </w:r>
      <w:r w:rsidRPr="006563C1">
        <w:rPr>
          <w:vertAlign w:val="superscript"/>
        </w:rPr>
        <w:t>4</w:t>
      </w:r>
      <w:r w:rsidRPr="006563C1">
        <w:t>, Ourania E. Tsitsilonis</w:t>
      </w:r>
      <w:r w:rsidRPr="006563C1">
        <w:rPr>
          <w:vertAlign w:val="superscript"/>
        </w:rPr>
        <w:t>4</w:t>
      </w:r>
      <w:r w:rsidRPr="006563C1">
        <w:t>, Ema Anastasiadou</w:t>
      </w:r>
      <w:r w:rsidRPr="006563C1">
        <w:rPr>
          <w:vertAlign w:val="superscript"/>
        </w:rPr>
        <w:t>2,</w:t>
      </w:r>
      <w:proofErr w:type="gramStart"/>
      <w:r w:rsidRPr="006563C1">
        <w:rPr>
          <w:vertAlign w:val="superscript"/>
        </w:rPr>
        <w:t>5,†</w:t>
      </w:r>
      <w:proofErr w:type="gramEnd"/>
      <w:r w:rsidRPr="006563C1">
        <w:rPr>
          <w:vertAlign w:val="superscript"/>
        </w:rPr>
        <w:t>,‡</w:t>
      </w:r>
      <w:r w:rsidRPr="006563C1">
        <w:t xml:space="preserve"> and Dimitrios J. Stravopodis</w:t>
      </w:r>
      <w:r w:rsidRPr="006563C1">
        <w:rPr>
          <w:vertAlign w:val="superscript"/>
        </w:rPr>
        <w:t>1,†,‡</w:t>
      </w:r>
    </w:p>
    <w:tbl>
      <w:tblPr>
        <w:tblpPr w:leftFromText="198" w:rightFromText="198" w:vertAnchor="page" w:horzAnchor="margin" w:tblpY="11276"/>
        <w:tblW w:w="2410" w:type="dxa"/>
        <w:tblLayout w:type="fixed"/>
        <w:tblCellMar>
          <w:left w:w="0" w:type="dxa"/>
          <w:right w:w="0" w:type="dxa"/>
        </w:tblCellMar>
        <w:tblLook w:val="04A0" w:firstRow="1" w:lastRow="0" w:firstColumn="1" w:lastColumn="0" w:noHBand="0" w:noVBand="1"/>
      </w:tblPr>
      <w:tblGrid>
        <w:gridCol w:w="2410"/>
      </w:tblGrid>
      <w:tr w:rsidR="00182BC6" w:rsidRPr="006563C1" w14:paraId="578A7A8A" w14:textId="77777777" w:rsidTr="0011332D">
        <w:tc>
          <w:tcPr>
            <w:tcW w:w="2410" w:type="dxa"/>
            <w:shd w:val="clear" w:color="auto" w:fill="auto"/>
          </w:tcPr>
          <w:p w14:paraId="7698C5CF" w14:textId="77777777" w:rsidR="00182BC6" w:rsidRPr="006563C1" w:rsidRDefault="00182BC6" w:rsidP="0011332D">
            <w:pPr>
              <w:pStyle w:val="MDPI61Citation"/>
              <w:spacing w:after="120" w:line="240" w:lineRule="exact"/>
            </w:pPr>
            <w:r w:rsidRPr="006563C1">
              <w:rPr>
                <w:b/>
              </w:rPr>
              <w:t xml:space="preserve">Citation: </w:t>
            </w:r>
            <w:r w:rsidRPr="006563C1">
              <w:t>To be added by editorial staff during production.</w:t>
            </w:r>
          </w:p>
          <w:p w14:paraId="5DE9835E" w14:textId="77777777" w:rsidR="00182BC6" w:rsidRPr="006563C1" w:rsidRDefault="00182BC6" w:rsidP="0011332D">
            <w:pPr>
              <w:pStyle w:val="MDPI14history"/>
              <w:spacing w:before="120" w:after="120"/>
              <w:rPr>
                <w:rFonts w:ascii="SimSun" w:eastAsia="SimSun" w:hAnsi="SimSun" w:cs="SimSun"/>
                <w:lang w:eastAsia="zh-CN"/>
              </w:rPr>
            </w:pPr>
            <w:r w:rsidRPr="006563C1">
              <w:t xml:space="preserve">Academic Editor: </w:t>
            </w:r>
            <w:proofErr w:type="spellStart"/>
            <w:r w:rsidRPr="006563C1">
              <w:t>Firstname</w:t>
            </w:r>
            <w:proofErr w:type="spellEnd"/>
            <w:r w:rsidRPr="006563C1">
              <w:t xml:space="preserve"> Lastname</w:t>
            </w:r>
          </w:p>
          <w:p w14:paraId="6261A003" w14:textId="77777777" w:rsidR="00182BC6" w:rsidRPr="006563C1" w:rsidRDefault="00182BC6" w:rsidP="0011332D">
            <w:pPr>
              <w:pStyle w:val="MDPI14history"/>
              <w:spacing w:before="120"/>
              <w:rPr>
                <w:rFonts w:ascii="SimSun" w:eastAsia="SimSun" w:hAnsi="SimSun" w:cs="SimSun"/>
              </w:rPr>
            </w:pPr>
            <w:r w:rsidRPr="006563C1">
              <w:rPr>
                <w:szCs w:val="14"/>
              </w:rPr>
              <w:t>Received: date</w:t>
            </w:r>
          </w:p>
          <w:p w14:paraId="56447E63" w14:textId="77777777" w:rsidR="00182BC6" w:rsidRPr="006563C1" w:rsidRDefault="00182BC6" w:rsidP="0011332D">
            <w:pPr>
              <w:pStyle w:val="MDPI14history"/>
              <w:rPr>
                <w:szCs w:val="14"/>
              </w:rPr>
            </w:pPr>
            <w:r w:rsidRPr="006563C1">
              <w:rPr>
                <w:szCs w:val="14"/>
              </w:rPr>
              <w:t>Revised: date</w:t>
            </w:r>
          </w:p>
          <w:p w14:paraId="1CB17A01" w14:textId="77777777" w:rsidR="00182BC6" w:rsidRPr="006563C1" w:rsidRDefault="00182BC6" w:rsidP="0011332D">
            <w:pPr>
              <w:pStyle w:val="MDPI14history"/>
              <w:rPr>
                <w:szCs w:val="14"/>
              </w:rPr>
            </w:pPr>
            <w:r w:rsidRPr="006563C1">
              <w:rPr>
                <w:szCs w:val="14"/>
              </w:rPr>
              <w:t>Accepted: date</w:t>
            </w:r>
          </w:p>
          <w:p w14:paraId="5FA22A44" w14:textId="77777777" w:rsidR="00182BC6" w:rsidRPr="006563C1" w:rsidRDefault="00182BC6" w:rsidP="0011332D">
            <w:pPr>
              <w:pStyle w:val="MDPI14history"/>
              <w:spacing w:after="120"/>
              <w:rPr>
                <w:szCs w:val="14"/>
              </w:rPr>
            </w:pPr>
            <w:r w:rsidRPr="006563C1">
              <w:rPr>
                <w:szCs w:val="14"/>
              </w:rPr>
              <w:t>Published: date</w:t>
            </w:r>
          </w:p>
          <w:p w14:paraId="6B3C4B7E" w14:textId="77777777" w:rsidR="00182BC6" w:rsidRPr="006563C1" w:rsidRDefault="00182BC6" w:rsidP="0011332D">
            <w:pPr>
              <w:adjustRightInd w:val="0"/>
              <w:snapToGrid w:val="0"/>
              <w:spacing w:before="120" w:line="240" w:lineRule="atLeast"/>
              <w:ind w:right="113"/>
              <w:jc w:val="left"/>
              <w:rPr>
                <w:rFonts w:eastAsia="DengXian"/>
                <w:bCs/>
                <w:sz w:val="14"/>
                <w:szCs w:val="14"/>
                <w:lang w:bidi="en-US"/>
              </w:rPr>
            </w:pPr>
            <w:r w:rsidRPr="006563C1">
              <w:rPr>
                <w:rFonts w:eastAsia="DengXian"/>
              </w:rPr>
              <w:drawing>
                <wp:inline distT="0" distB="0" distL="0" distR="0" wp14:anchorId="2799B9E0" wp14:editId="4F7C9187">
                  <wp:extent cx="692785" cy="249555"/>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2785" cy="249555"/>
                          </a:xfrm>
                          <a:prstGeom prst="rect">
                            <a:avLst/>
                          </a:prstGeom>
                          <a:noFill/>
                          <a:ln>
                            <a:noFill/>
                          </a:ln>
                        </pic:spPr>
                      </pic:pic>
                    </a:graphicData>
                  </a:graphic>
                </wp:inline>
              </w:drawing>
            </w:r>
          </w:p>
          <w:p w14:paraId="032903FC" w14:textId="77777777" w:rsidR="00182BC6" w:rsidRPr="006563C1" w:rsidRDefault="00182BC6" w:rsidP="00E05BAB">
            <w:pPr>
              <w:pStyle w:val="MDPI72Copyright"/>
              <w:rPr>
                <w:rFonts w:eastAsia="DengXian"/>
                <w:lang w:bidi="en-US"/>
              </w:rPr>
            </w:pPr>
            <w:r w:rsidRPr="006563C1">
              <w:rPr>
                <w:rFonts w:eastAsia="DengXian"/>
                <w:b/>
                <w:lang w:bidi="en-US"/>
              </w:rPr>
              <w:t>Copyright:</w:t>
            </w:r>
            <w:r w:rsidRPr="006563C1">
              <w:rPr>
                <w:rFonts w:eastAsia="DengXian"/>
                <w:lang w:bidi="en-US"/>
              </w:rPr>
              <w:t xml:space="preserve"> </w:t>
            </w:r>
            <w:r w:rsidR="00780135" w:rsidRPr="006563C1">
              <w:rPr>
                <w:rFonts w:eastAsia="DengXian"/>
                <w:lang w:bidi="en-US"/>
              </w:rPr>
              <w:t>© 2024 by the</w:t>
            </w:r>
            <w:r w:rsidRPr="006563C1">
              <w:rPr>
                <w:rFonts w:eastAsia="DengXian"/>
                <w:lang w:bidi="en-US"/>
              </w:rPr>
              <w:t xml:space="preserve"> authors. Submitted for possible open access publication under the terms and conditions of the Creative Commons Attribution (CC BY) license (https://creativecommons.org/licenses/by/4.0/).</w:t>
            </w:r>
          </w:p>
        </w:tc>
      </w:tr>
    </w:tbl>
    <w:p w14:paraId="768BEF7A" w14:textId="55522AC0" w:rsidR="000D6839" w:rsidRPr="006563C1" w:rsidRDefault="00092478" w:rsidP="000D6839">
      <w:pPr>
        <w:pStyle w:val="MDPI16affiliation"/>
      </w:pPr>
      <w:r w:rsidRPr="006563C1">
        <w:rPr>
          <w:vertAlign w:val="superscript"/>
        </w:rPr>
        <w:t>1</w:t>
      </w:r>
      <w:r w:rsidR="000D6839" w:rsidRPr="006563C1">
        <w:tab/>
      </w:r>
      <w:r w:rsidR="002C42C2" w:rsidRPr="006563C1">
        <w:t>Section of Cell Biology and Biophysics, Department of Biology, School of Science, National and Kapodistrian University of Athens (NKUA), 157 01 Athens, Greece; elthk@biol.uoa.gr (E.I.T.), tveletz@biol.uoa.gr (A.D.V.), ksnikolakop@biol.uoa.gr (K.-S.N.), dstravop@biol.uoa.gr (D.J.S.)</w:t>
      </w:r>
    </w:p>
    <w:p w14:paraId="716F0903" w14:textId="7D9983E3" w:rsidR="000D6839" w:rsidRPr="006563C1" w:rsidRDefault="000D6839" w:rsidP="000D6839">
      <w:pPr>
        <w:pStyle w:val="MDPI16affiliation"/>
      </w:pPr>
      <w:r w:rsidRPr="006563C1">
        <w:rPr>
          <w:vertAlign w:val="superscript"/>
        </w:rPr>
        <w:t>2</w:t>
      </w:r>
      <w:r w:rsidRPr="006563C1">
        <w:tab/>
      </w:r>
      <w:r w:rsidR="002C42C2" w:rsidRPr="006563C1">
        <w:t xml:space="preserve">Center of Basic Research, Biomedical Research Foundation of the Academy of Athens (BRFAA), 115 27 Athens, Greece; elthk@biol.uoa.gr (E.I.T.), pkakoulidis@di.uoa.gr (P.K.), anastasiadou@bioacademy.gr (E.A.) </w:t>
      </w:r>
    </w:p>
    <w:p w14:paraId="770AB9DF" w14:textId="4A09A6E0" w:rsidR="002C42C2" w:rsidRPr="006563C1" w:rsidRDefault="002C42C2" w:rsidP="002C42C2">
      <w:pPr>
        <w:pStyle w:val="MDPI16affiliation"/>
      </w:pPr>
      <w:r w:rsidRPr="006563C1">
        <w:rPr>
          <w:vertAlign w:val="superscript"/>
        </w:rPr>
        <w:t>3</w:t>
      </w:r>
      <w:r w:rsidRPr="006563C1">
        <w:tab/>
        <w:t>Department of Informatics and Telecommunications, School of Science, National and Kapodistrian University of Athens (NKUA), 157 01 Athens, Greece; pkakoulidis@di.uoa.gr (P.K.)</w:t>
      </w:r>
    </w:p>
    <w:p w14:paraId="485BBF22" w14:textId="697BE7E7" w:rsidR="002C42C2" w:rsidRPr="006563C1" w:rsidRDefault="002C42C2" w:rsidP="002C42C2">
      <w:pPr>
        <w:pStyle w:val="MDPI16affiliation"/>
      </w:pPr>
      <w:r w:rsidRPr="006563C1">
        <w:rPr>
          <w:vertAlign w:val="superscript"/>
        </w:rPr>
        <w:t>4</w:t>
      </w:r>
      <w:r w:rsidRPr="006563C1">
        <w:tab/>
        <w:t>Section of Animal and Human Physiology, Department of Biology, School of Science, National and Kapodistrian University of Athens (NKUA), 157 01 Athens, Greece; nangelis@biol.uoa.gr (N.V.A.), rtsitsil@biol.uoa.gr (O.E.T.)</w:t>
      </w:r>
    </w:p>
    <w:p w14:paraId="066A0255" w14:textId="77D0883C" w:rsidR="002C42C2" w:rsidRPr="006563C1" w:rsidRDefault="002C42C2" w:rsidP="002C42C2">
      <w:pPr>
        <w:pStyle w:val="MDPI16affiliation"/>
      </w:pPr>
      <w:r w:rsidRPr="006563C1">
        <w:rPr>
          <w:vertAlign w:val="superscript"/>
        </w:rPr>
        <w:t>5</w:t>
      </w:r>
      <w:r w:rsidRPr="006563C1">
        <w:tab/>
        <w:t>Present Address: Department of Health Science, Higher Colleges of Technology (HCT), Academic City Campus, Dubai, United Arab Emirates (UAE); eanastasiadou@hct.ac.ae (E.A.)</w:t>
      </w:r>
    </w:p>
    <w:p w14:paraId="14BD461E" w14:textId="77777777" w:rsidR="002C42C2" w:rsidRPr="006563C1" w:rsidRDefault="002C42C2" w:rsidP="000D6839">
      <w:pPr>
        <w:pStyle w:val="MDPI16affiliation"/>
      </w:pPr>
    </w:p>
    <w:p w14:paraId="4BB9B54B" w14:textId="6CD4D332" w:rsidR="000D6839" w:rsidRPr="006563C1" w:rsidRDefault="000D6839" w:rsidP="000D6839">
      <w:pPr>
        <w:pStyle w:val="MDPI16affiliation"/>
      </w:pPr>
      <w:r w:rsidRPr="006563C1">
        <w:rPr>
          <w:b/>
        </w:rPr>
        <w:t>*</w:t>
      </w:r>
      <w:r w:rsidRPr="006563C1">
        <w:tab/>
        <w:t xml:space="preserve">Correspondence: </w:t>
      </w:r>
      <w:r w:rsidR="002C42C2" w:rsidRPr="006563C1">
        <w:t>anastasiadou@bioacademy.gr, eanastasiadou@hct.ac.ae (E.A.); dstravop@biol.uoa.gr (D.J.S.)</w:t>
      </w:r>
    </w:p>
    <w:p w14:paraId="5294A574" w14:textId="55048DCC" w:rsidR="002C42C2" w:rsidRPr="006563C1" w:rsidRDefault="002C42C2" w:rsidP="000D6839">
      <w:pPr>
        <w:pStyle w:val="MDPI16affiliation"/>
      </w:pPr>
      <w:r w:rsidRPr="006563C1">
        <w:rPr>
          <w:vertAlign w:val="superscript"/>
        </w:rPr>
        <w:t xml:space="preserve">‡ </w:t>
      </w:r>
      <w:r w:rsidRPr="006563C1">
        <w:rPr>
          <w:vertAlign w:val="superscript"/>
        </w:rPr>
        <w:tab/>
      </w:r>
      <w:r w:rsidRPr="006563C1">
        <w:t>Equal Senior Authorship</w:t>
      </w:r>
    </w:p>
    <w:p w14:paraId="23ACF302" w14:textId="42F62423" w:rsidR="000D6839" w:rsidRPr="006563C1" w:rsidRDefault="000D6839" w:rsidP="000D6839">
      <w:pPr>
        <w:pStyle w:val="MDPI17abstract"/>
        <w:rPr>
          <w:szCs w:val="18"/>
        </w:rPr>
      </w:pPr>
      <w:r w:rsidRPr="006563C1">
        <w:rPr>
          <w:b/>
          <w:szCs w:val="18"/>
        </w:rPr>
        <w:t xml:space="preserve">Abstract: </w:t>
      </w:r>
      <w:r w:rsidR="002C42C2" w:rsidRPr="006563C1">
        <w:t>Transactivation Response Element RNA-binding Protein (TRBP) is a double-stranded RNA-binding protein widely known for its critical contribution to RNA interference (RNAi), a conserved mechanism of gene-expression regulation mediated through small non-coding RNA moieties (ncRNAs). Nevertheless, TRBP has proved to be also involved in other molecular pathways and biological processes, such as cell growth, organism development, spermatogenesis and stress response. Mutations or aberrant expression of TRBP have been previously associated with diverse human pathologies, including Alzheimer’s disease, Cardiomyopathy and Cancer, with TRBP playing essential role(s) in proliferation, invasion and metastasis of tumor cells. Hence, the present study aims to investigate new, still elusive, functions and properties of TRBP, particularly regarding its cell cycle-dependent regulation during cancer-cell division. Our results unveil, for the first time, the tight and remarkable, mitosis-dependent, control of TRBP protein expression, as clearly evidenced by the lack of its immunofluorescence-facilitated detection, during mitotic phases, in several human cancer-cell lines of different tissue origin. Notably, the obtained TRBP-downregulation patterns seem to derive from molecular mechanisms that act independently of oncogenic activities (e.g., malignancy grade), metastatic capacities (e.g., low versus high) and mutational signatures (e.g., p53</w:t>
      </w:r>
      <w:r w:rsidR="002C42C2" w:rsidRPr="006563C1">
        <w:rPr>
          <w:vertAlign w:val="superscript"/>
        </w:rPr>
        <w:t>-/-</w:t>
      </w:r>
      <w:r w:rsidR="002C42C2" w:rsidRPr="006563C1">
        <w:t xml:space="preserve"> or p53</w:t>
      </w:r>
      <w:r w:rsidR="002C42C2" w:rsidRPr="006563C1">
        <w:rPr>
          <w:vertAlign w:val="superscript"/>
        </w:rPr>
        <w:t>ΔΥ126</w:t>
      </w:r>
      <w:r w:rsidR="002C42C2" w:rsidRPr="006563C1">
        <w:t>) of cancer cells. Taken together, we, herein, propose that TRBP serves as a novel cell cycle-dependent regulator, likely exerting mitosis-suppression functions, and, thus, its mitosis-specific downregulation can hold strong promise to be exploited for the efficient and successful prognosis, diagnosis and (radio-/chemo</w:t>
      </w:r>
      <w:proofErr w:type="gramStart"/>
      <w:r w:rsidR="002C42C2" w:rsidRPr="006563C1">
        <w:t>-)therapy</w:t>
      </w:r>
      <w:proofErr w:type="gramEnd"/>
      <w:r w:rsidR="002C42C2" w:rsidRPr="006563C1">
        <w:t xml:space="preserve"> of diverse human malignancies, in the clinic.</w:t>
      </w:r>
      <w:r w:rsidR="00AE48A6" w:rsidRPr="006563C1">
        <w:rPr>
          <w:szCs w:val="18"/>
        </w:rPr>
        <w:t>.</w:t>
      </w:r>
    </w:p>
    <w:p w14:paraId="3CF34ED8" w14:textId="343F0150" w:rsidR="000D6839" w:rsidRPr="006563C1" w:rsidRDefault="000D6839" w:rsidP="000D6839">
      <w:pPr>
        <w:pStyle w:val="MDPI18keywords"/>
        <w:rPr>
          <w:szCs w:val="18"/>
        </w:rPr>
      </w:pPr>
      <w:r w:rsidRPr="006563C1">
        <w:rPr>
          <w:b/>
          <w:szCs w:val="18"/>
        </w:rPr>
        <w:t xml:space="preserve">Keywords: </w:t>
      </w:r>
      <w:r w:rsidR="002C42C2" w:rsidRPr="006563C1">
        <w:rPr>
          <w:szCs w:val="18"/>
        </w:rPr>
        <w:t>Cancer, Cell Cycle, DICER, Mitosis, PACT, RISC, RNAi, TRBP</w:t>
      </w:r>
    </w:p>
    <w:p w14:paraId="374BFA62" w14:textId="3F65D453" w:rsidR="00A04B8B" w:rsidRPr="006563C1" w:rsidRDefault="00A04B8B" w:rsidP="00341EAD">
      <w:pPr>
        <w:pStyle w:val="MDPI21heading1"/>
        <w:spacing w:before="0"/>
      </w:pPr>
      <w:bookmarkStart w:id="0" w:name="page2"/>
      <w:bookmarkEnd w:id="0"/>
    </w:p>
    <w:p w14:paraId="54A2B46F" w14:textId="77777777" w:rsidR="00A76D7C" w:rsidRPr="006563C1" w:rsidRDefault="00A76D7C" w:rsidP="00341EAD">
      <w:pPr>
        <w:pStyle w:val="MDPI21heading1"/>
        <w:spacing w:before="0"/>
      </w:pPr>
    </w:p>
    <w:p w14:paraId="35D64A67" w14:textId="77777777" w:rsidR="00A76D7C" w:rsidRPr="006563C1" w:rsidRDefault="00A76D7C" w:rsidP="00341EAD">
      <w:pPr>
        <w:pStyle w:val="MDPI21heading1"/>
        <w:spacing w:before="0"/>
      </w:pPr>
    </w:p>
    <w:p w14:paraId="0C64FEC0" w14:textId="77777777" w:rsidR="00A76D7C" w:rsidRPr="006563C1" w:rsidRDefault="00A76D7C" w:rsidP="00341EAD">
      <w:pPr>
        <w:pStyle w:val="MDPI21heading1"/>
        <w:spacing w:before="0"/>
      </w:pPr>
    </w:p>
    <w:p w14:paraId="5EF5FB17" w14:textId="526EC49A" w:rsidR="00A76D7C" w:rsidRPr="006563C1" w:rsidRDefault="00A76D7C" w:rsidP="00FD4B34">
      <w:pPr>
        <w:pStyle w:val="MDPI21heading1"/>
        <w:spacing w:before="0"/>
        <w:ind w:left="0"/>
        <w:jc w:val="center"/>
      </w:pPr>
      <w:r w:rsidRPr="006563C1">
        <w:rPr>
          <w:noProof/>
          <w:snapToGrid/>
        </w:rPr>
        <w:lastRenderedPageBreak/>
        <w:drawing>
          <wp:inline distT="0" distB="0" distL="0" distR="0" wp14:anchorId="7E79339D" wp14:editId="043E7483">
            <wp:extent cx="4045399" cy="7191375"/>
            <wp:effectExtent l="0" t="0" r="0" b="0"/>
            <wp:docPr id="981496923" name="Picture 1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496923" name="Picture 14" descr="A screenshot of a computer screen&#10;&#10;Description automatically generated"/>
                    <pic:cNvPicPr/>
                  </pic:nvPicPr>
                  <pic:blipFill>
                    <a:blip r:embed="rId9"/>
                    <a:stretch>
                      <a:fillRect/>
                    </a:stretch>
                  </pic:blipFill>
                  <pic:spPr>
                    <a:xfrm>
                      <a:off x="0" y="0"/>
                      <a:ext cx="4059078" cy="7215691"/>
                    </a:xfrm>
                    <a:prstGeom prst="rect">
                      <a:avLst/>
                    </a:prstGeom>
                  </pic:spPr>
                </pic:pic>
              </a:graphicData>
            </a:graphic>
          </wp:inline>
        </w:drawing>
      </w:r>
    </w:p>
    <w:p w14:paraId="68969BF3" w14:textId="289ACA32" w:rsidR="00644B2A" w:rsidRPr="006563C1" w:rsidRDefault="00644B2A" w:rsidP="00644B2A">
      <w:pPr>
        <w:pStyle w:val="MDPI511onefigurecaption"/>
        <w:jc w:val="both"/>
      </w:pPr>
      <w:r w:rsidRPr="006563C1">
        <w:rPr>
          <w:b/>
          <w:bCs/>
        </w:rPr>
        <w:t>Supplementary Figure S1</w:t>
      </w:r>
      <w:r w:rsidRPr="006563C1">
        <w:t xml:space="preserve">. </w:t>
      </w:r>
      <w:r w:rsidR="00130AA9" w:rsidRPr="00130AA9">
        <w:rPr>
          <w:b/>
          <w:bCs/>
          <w:i/>
          <w:iCs/>
        </w:rPr>
        <w:t>In silico</w:t>
      </w:r>
      <w:r w:rsidR="00130AA9" w:rsidRPr="00130AA9">
        <w:rPr>
          <w:b/>
          <w:bCs/>
        </w:rPr>
        <w:t xml:space="preserve"> dissection of TRBP2, TRBP1 and PACT molecular structures: from gene to protein.</w:t>
      </w:r>
      <w:r w:rsidR="00130AA9" w:rsidRPr="00130AA9">
        <w:t xml:space="preserve"> </w:t>
      </w:r>
      <w:r w:rsidRPr="006563C1">
        <w:t>(</w:t>
      </w:r>
      <w:r w:rsidRPr="006563C1">
        <w:rPr>
          <w:b/>
          <w:bCs/>
        </w:rPr>
        <w:t>A</w:t>
      </w:r>
      <w:r w:rsidRPr="006563C1">
        <w:t>) Graphic presentation of TRBP2, TRBP1 and PRKRA/PACT transcripts, as they were obtained from the “Ensembl Genome Browser 112” (</w:t>
      </w:r>
      <w:hyperlink r:id="rId10" w:history="1">
        <w:r w:rsidRPr="006563C1">
          <w:t>https://www.ensembl.org/Homo_sapiens/Info/Index</w:t>
        </w:r>
      </w:hyperlink>
      <w:r w:rsidRPr="006563C1">
        <w:t>), with exons and introns being clearly distinguished and aligned. Similar exons in between TRBP2 and TRBP1 transcript species are marked with black dashed lines. (</w:t>
      </w:r>
      <w:r w:rsidRPr="006563C1">
        <w:rPr>
          <w:b/>
          <w:bCs/>
        </w:rPr>
        <w:t>B</w:t>
      </w:r>
      <w:r w:rsidRPr="006563C1">
        <w:t>) Protein sequence “Blast-Alignment” in between TRBP2-TRBP1 (left panel) and TRBP2-PACT (right panel). (</w:t>
      </w:r>
      <w:r w:rsidRPr="006563C1">
        <w:rPr>
          <w:b/>
          <w:bCs/>
        </w:rPr>
        <w:t>C</w:t>
      </w:r>
      <w:r w:rsidRPr="006563C1">
        <w:t>) Secondary structure (2D) -in silico- comparison in between TRBP2-TRBP1 and TRBP2-PACT proteins. (</w:t>
      </w:r>
      <w:r w:rsidRPr="006563C1">
        <w:rPr>
          <w:b/>
          <w:bCs/>
        </w:rPr>
        <w:t>D</w:t>
      </w:r>
      <w:r w:rsidRPr="006563C1">
        <w:t>) Super-position of TRBP2-TRBP1 and TRBP2-PACT tertiary -in silico- structures (3D). In TRBP2, the protein segment missing from TRBP1 is marked (blue ribbon). (</w:t>
      </w:r>
      <w:r w:rsidRPr="006563C1">
        <w:rPr>
          <w:b/>
          <w:bCs/>
        </w:rPr>
        <w:t>E</w:t>
      </w:r>
      <w:r w:rsidRPr="006563C1">
        <w:t>) Motif map of the TRBP2 (top), TRBP1 (middle) and PACT (bottom) proteins, via employment of the “Motif Search” suite (“MOTIF: Searching Protein Sequence Motifs”) (</w:t>
      </w:r>
      <w:hyperlink r:id="rId11" w:history="1">
        <w:r w:rsidRPr="006563C1">
          <w:t>https://www.genome.jp/tools/motif/</w:t>
        </w:r>
      </w:hyperlink>
      <w:r w:rsidRPr="006563C1">
        <w:t>).</w:t>
      </w:r>
    </w:p>
    <w:p w14:paraId="0E5AED97" w14:textId="1D225835" w:rsidR="00A76D7C" w:rsidRPr="006563C1" w:rsidRDefault="00A76D7C" w:rsidP="00FD4B34">
      <w:pPr>
        <w:pStyle w:val="MDPI21heading1"/>
        <w:spacing w:before="0"/>
        <w:ind w:left="0"/>
        <w:jc w:val="center"/>
      </w:pPr>
      <w:r w:rsidRPr="006563C1">
        <w:rPr>
          <w:noProof/>
          <w:snapToGrid/>
        </w:rPr>
        <w:lastRenderedPageBreak/>
        <w:drawing>
          <wp:inline distT="0" distB="0" distL="0" distR="0" wp14:anchorId="621ED40D" wp14:editId="4682C310">
            <wp:extent cx="6645910" cy="3738245"/>
            <wp:effectExtent l="0" t="0" r="2540" b="0"/>
            <wp:docPr id="1330177054" name="Picture 15"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77054" name="Picture 15" descr="A diagram of a graph&#10;&#10;Description automatically generated with medium confidence"/>
                    <pic:cNvPicPr/>
                  </pic:nvPicPr>
                  <pic:blipFill>
                    <a:blip r:embed="rId12"/>
                    <a:stretch>
                      <a:fillRect/>
                    </a:stretch>
                  </pic:blipFill>
                  <pic:spPr>
                    <a:xfrm>
                      <a:off x="0" y="0"/>
                      <a:ext cx="6645910" cy="3738245"/>
                    </a:xfrm>
                    <a:prstGeom prst="rect">
                      <a:avLst/>
                    </a:prstGeom>
                  </pic:spPr>
                </pic:pic>
              </a:graphicData>
            </a:graphic>
          </wp:inline>
        </w:drawing>
      </w:r>
    </w:p>
    <w:p w14:paraId="5BD6C1A9" w14:textId="198566C3" w:rsidR="00644B2A" w:rsidRPr="006563C1" w:rsidRDefault="00644B2A" w:rsidP="00644B2A">
      <w:pPr>
        <w:pStyle w:val="MDPI511onefigurecaption"/>
        <w:jc w:val="both"/>
        <w:rPr>
          <w:lang w:eastAsia="el-GR"/>
        </w:rPr>
      </w:pPr>
      <w:r w:rsidRPr="006563C1">
        <w:rPr>
          <w:rFonts w:eastAsia="Times New Roman"/>
          <w:b/>
          <w:bCs/>
          <w:color w:val="auto"/>
          <w:lang w:eastAsia="el-GR"/>
        </w:rPr>
        <w:t xml:space="preserve">Supplementary Figure S2. </w:t>
      </w:r>
      <w:r w:rsidR="00130AA9" w:rsidRPr="00130AA9">
        <w:rPr>
          <w:rFonts w:eastAsia="Times New Roman"/>
          <w:b/>
          <w:bCs/>
          <w:color w:val="auto"/>
          <w:lang w:eastAsia="el-GR"/>
        </w:rPr>
        <w:t>T24-specific gating course for cell cycle-phase partitioning.</w:t>
      </w:r>
      <w:r w:rsidR="00130AA9">
        <w:rPr>
          <w:rFonts w:eastAsia="Times New Roman"/>
          <w:b/>
          <w:bCs/>
          <w:color w:val="auto"/>
          <w:lang w:eastAsia="el-GR"/>
        </w:rPr>
        <w:t xml:space="preserve"> </w:t>
      </w:r>
      <w:r w:rsidRPr="006563C1">
        <w:rPr>
          <w:lang w:eastAsia="el-GR"/>
        </w:rPr>
        <w:t>Gating strategy for the detection of FITC-positive cells at the G0/G1, S and G2/M phases of the cell cycle, in T24 dividing cells.</w:t>
      </w:r>
    </w:p>
    <w:p w14:paraId="6F90CC61" w14:textId="77777777" w:rsidR="00A76D7C" w:rsidRPr="006563C1" w:rsidRDefault="00A76D7C" w:rsidP="00A76D7C">
      <w:pPr>
        <w:pStyle w:val="MDPI21heading1"/>
        <w:spacing w:before="0"/>
        <w:ind w:left="0"/>
      </w:pPr>
    </w:p>
    <w:p w14:paraId="07051CE3" w14:textId="1955C719" w:rsidR="00A76D7C" w:rsidRPr="006563C1" w:rsidRDefault="00A76D7C" w:rsidP="00A76D7C">
      <w:pPr>
        <w:pStyle w:val="MDPI21heading1"/>
        <w:spacing w:before="0"/>
        <w:ind w:left="0"/>
      </w:pPr>
      <w:r w:rsidRPr="006563C1">
        <w:rPr>
          <w:noProof/>
          <w:snapToGrid/>
        </w:rPr>
        <w:drawing>
          <wp:inline distT="0" distB="0" distL="0" distR="0" wp14:anchorId="0AC3C43B" wp14:editId="6CBFBB75">
            <wp:extent cx="6645910" cy="3738245"/>
            <wp:effectExtent l="0" t="0" r="2540" b="0"/>
            <wp:docPr id="1236335420" name="Picture 16" descr="A collage of images of ce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335420" name="Picture 16" descr="A collage of images of cells&#10;&#10;Description automatically generated"/>
                    <pic:cNvPicPr/>
                  </pic:nvPicPr>
                  <pic:blipFill>
                    <a:blip r:embed="rId13"/>
                    <a:stretch>
                      <a:fillRect/>
                    </a:stretch>
                  </pic:blipFill>
                  <pic:spPr>
                    <a:xfrm>
                      <a:off x="0" y="0"/>
                      <a:ext cx="6645910" cy="3738245"/>
                    </a:xfrm>
                    <a:prstGeom prst="rect">
                      <a:avLst/>
                    </a:prstGeom>
                  </pic:spPr>
                </pic:pic>
              </a:graphicData>
            </a:graphic>
          </wp:inline>
        </w:drawing>
      </w:r>
    </w:p>
    <w:p w14:paraId="5C6C3956" w14:textId="6CEEBE75" w:rsidR="00644B2A" w:rsidRPr="006563C1" w:rsidRDefault="00644B2A" w:rsidP="00644B2A">
      <w:pPr>
        <w:pStyle w:val="MDPI511onefigurecaption"/>
        <w:jc w:val="both"/>
        <w:rPr>
          <w:rFonts w:eastAsiaTheme="minorEastAsia"/>
          <w:color w:val="000000" w:themeColor="text1"/>
          <w:kern w:val="24"/>
          <w:lang w:val="en-GB" w:eastAsia="el-GR"/>
        </w:rPr>
      </w:pPr>
      <w:r w:rsidRPr="006563C1">
        <w:rPr>
          <w:b/>
          <w:bCs/>
          <w:lang w:eastAsia="el-GR"/>
        </w:rPr>
        <w:t>Supplementary Figure S3</w:t>
      </w:r>
      <w:r w:rsidR="00130AA9">
        <w:rPr>
          <w:b/>
          <w:bCs/>
          <w:lang w:eastAsia="el-GR"/>
        </w:rPr>
        <w:t>.</w:t>
      </w:r>
      <w:r w:rsidR="00130AA9" w:rsidRPr="00130AA9">
        <w:t xml:space="preserve"> </w:t>
      </w:r>
      <w:r w:rsidR="00130AA9" w:rsidRPr="00130AA9">
        <w:rPr>
          <w:b/>
          <w:bCs/>
          <w:lang w:eastAsia="el-GR"/>
        </w:rPr>
        <w:t>PACT-specific immunophenotypic profiles in hepatic cells undergoing SUMOylation, NEDDylation, or Proteasome inhibition-induced stress.</w:t>
      </w:r>
      <w:r w:rsidRPr="006563C1">
        <w:rPr>
          <w:lang w:eastAsia="el-GR"/>
        </w:rPr>
        <w:t xml:space="preserve"> </w:t>
      </w:r>
      <w:r w:rsidRPr="006563C1">
        <w:rPr>
          <w:rFonts w:eastAsiaTheme="minorEastAsia"/>
          <w:color w:val="000000" w:themeColor="text1"/>
          <w:kern w:val="24"/>
          <w:lang w:val="en-GB" w:eastAsia="el-GR"/>
        </w:rPr>
        <w:t xml:space="preserve">Immunofluorescence images of LX-2 cells, exhibiting PACT expression in interphase (left </w:t>
      </w:r>
      <w:r w:rsidRPr="006563C1">
        <w:rPr>
          <w:rFonts w:eastAsiaTheme="minorEastAsia"/>
          <w:color w:val="000000" w:themeColor="text1"/>
          <w:kern w:val="24"/>
          <w:lang w:val="en-GB" w:eastAsia="el-GR"/>
        </w:rPr>
        <w:lastRenderedPageBreak/>
        <w:t xml:space="preserve">panels) and mitotic (right panels) cells, 24 h after administration of 1 </w:t>
      </w:r>
      <w:r w:rsidRPr="006563C1">
        <w:rPr>
          <w:rFonts w:eastAsiaTheme="minorEastAsia"/>
          <w:color w:val="000000" w:themeColor="text1"/>
          <w:kern w:val="24"/>
          <w:lang w:val="el-GR" w:eastAsia="el-GR"/>
        </w:rPr>
        <w:t>μ</w:t>
      </w:r>
      <w:r w:rsidRPr="006563C1">
        <w:rPr>
          <w:rFonts w:eastAsiaTheme="minorEastAsia"/>
          <w:color w:val="000000" w:themeColor="text1"/>
          <w:kern w:val="24"/>
          <w:lang w:val="en-GB" w:eastAsia="el-GR"/>
        </w:rPr>
        <w:t xml:space="preserve">M TAK-981 (SUMOylation inhibitor), MLN-4924 (NEDDylation inhibitor) and Bortezomib (Proteasome inhibitor) synthetic compounds. Note that PACT protein is expressed in both interphase and dividing cells, undergoing mitosis (yellow arrows). LX-2 cells treated with 1 </w:t>
      </w:r>
      <w:r w:rsidRPr="006563C1">
        <w:rPr>
          <w:rFonts w:eastAsiaTheme="minorEastAsia"/>
          <w:color w:val="000000" w:themeColor="text1"/>
          <w:kern w:val="24"/>
          <w:lang w:val="el-GR" w:eastAsia="el-GR"/>
        </w:rPr>
        <w:t>μ</w:t>
      </w:r>
      <w:r w:rsidRPr="006563C1">
        <w:rPr>
          <w:rFonts w:eastAsiaTheme="minorEastAsia"/>
          <w:color w:val="000000" w:themeColor="text1"/>
          <w:kern w:val="24"/>
          <w:lang w:val="en-GB" w:eastAsia="el-GR"/>
        </w:rPr>
        <w:t xml:space="preserve">M DMSO were used as control. Green color: PACT; Red color: </w:t>
      </w:r>
      <w:r w:rsidRPr="006563C1">
        <w:rPr>
          <w:rFonts w:eastAsiaTheme="minorEastAsia"/>
          <w:color w:val="000000" w:themeColor="text1"/>
          <w:kern w:val="24"/>
          <w:lang w:val="el-GR" w:eastAsia="el-GR"/>
        </w:rPr>
        <w:t>α</w:t>
      </w:r>
      <w:r w:rsidRPr="006563C1">
        <w:rPr>
          <w:rFonts w:eastAsiaTheme="minorEastAsia"/>
          <w:color w:val="000000" w:themeColor="text1"/>
          <w:kern w:val="24"/>
          <w:lang w:val="en-GB" w:eastAsia="el-GR"/>
        </w:rPr>
        <w:t xml:space="preserve">-Tubulin; Blue color: Nucleus (DAPI). Scale bars: 10 </w:t>
      </w:r>
      <w:r w:rsidRPr="006563C1">
        <w:rPr>
          <w:rFonts w:eastAsiaTheme="minorEastAsia"/>
          <w:color w:val="000000" w:themeColor="text1"/>
          <w:kern w:val="24"/>
          <w:lang w:val="el-GR" w:eastAsia="el-GR"/>
        </w:rPr>
        <w:t>μ</w:t>
      </w:r>
      <w:r w:rsidRPr="006563C1">
        <w:rPr>
          <w:rFonts w:eastAsiaTheme="minorEastAsia"/>
          <w:color w:val="000000" w:themeColor="text1"/>
          <w:kern w:val="24"/>
          <w:lang w:val="en-GB" w:eastAsia="el-GR"/>
        </w:rPr>
        <w:t>m. Inserts illustrate aberrant-mitosis incidents, indicating the pathogenic activities of each, herein, administered inhibitor, in dividing LX-2 hepatic cells.</w:t>
      </w:r>
    </w:p>
    <w:p w14:paraId="7F1F1D4F" w14:textId="77777777" w:rsidR="00A76D7C" w:rsidRPr="006563C1" w:rsidRDefault="00A76D7C" w:rsidP="00A76D7C">
      <w:pPr>
        <w:pStyle w:val="MDPI21heading1"/>
        <w:spacing w:before="0"/>
        <w:ind w:left="0"/>
        <w:rPr>
          <w:lang w:val="en-GB"/>
        </w:rPr>
      </w:pPr>
    </w:p>
    <w:p w14:paraId="7DD01678" w14:textId="170540E4" w:rsidR="00A76D7C" w:rsidRPr="006563C1" w:rsidRDefault="00A76D7C" w:rsidP="00FD4B34">
      <w:pPr>
        <w:pStyle w:val="MDPI21heading1"/>
        <w:spacing w:before="0"/>
        <w:ind w:left="0"/>
        <w:jc w:val="center"/>
      </w:pPr>
      <w:r w:rsidRPr="006563C1">
        <w:rPr>
          <w:noProof/>
          <w:snapToGrid/>
        </w:rPr>
        <w:drawing>
          <wp:inline distT="0" distB="0" distL="0" distR="0" wp14:anchorId="3F971E61" wp14:editId="298922AD">
            <wp:extent cx="6645910" cy="3738245"/>
            <wp:effectExtent l="0" t="0" r="2540" b="0"/>
            <wp:docPr id="213683758" name="Picture 17" descr="A collage of images of bacteri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83758" name="Picture 17" descr="A collage of images of bacteria&#10;&#10;Description automatically generated"/>
                    <pic:cNvPicPr/>
                  </pic:nvPicPr>
                  <pic:blipFill>
                    <a:blip r:embed="rId14"/>
                    <a:stretch>
                      <a:fillRect/>
                    </a:stretch>
                  </pic:blipFill>
                  <pic:spPr>
                    <a:xfrm>
                      <a:off x="0" y="0"/>
                      <a:ext cx="6645910" cy="3738245"/>
                    </a:xfrm>
                    <a:prstGeom prst="rect">
                      <a:avLst/>
                    </a:prstGeom>
                  </pic:spPr>
                </pic:pic>
              </a:graphicData>
            </a:graphic>
          </wp:inline>
        </w:drawing>
      </w:r>
    </w:p>
    <w:p w14:paraId="336AE5E9" w14:textId="55C89A3E" w:rsidR="00644B2A" w:rsidRPr="006563C1" w:rsidRDefault="00644B2A" w:rsidP="006E1608">
      <w:pPr>
        <w:pStyle w:val="MDPI511onefigurecaption"/>
        <w:jc w:val="both"/>
        <w:rPr>
          <w:lang w:val="en-GB" w:eastAsia="el-GR"/>
        </w:rPr>
      </w:pPr>
      <w:r w:rsidRPr="006563C1">
        <w:rPr>
          <w:rFonts w:eastAsia="Times New Roman"/>
          <w:b/>
          <w:bCs/>
          <w:color w:val="auto"/>
          <w:lang w:eastAsia="el-GR"/>
        </w:rPr>
        <w:t>Supplementary Figure S4</w:t>
      </w:r>
      <w:r w:rsidR="00130AA9">
        <w:rPr>
          <w:rFonts w:eastAsia="Times New Roman"/>
          <w:b/>
          <w:bCs/>
          <w:color w:val="auto"/>
          <w:lang w:eastAsia="el-GR"/>
        </w:rPr>
        <w:t xml:space="preserve">. </w:t>
      </w:r>
      <w:r w:rsidR="00130AA9" w:rsidRPr="00130AA9">
        <w:rPr>
          <w:rFonts w:eastAsia="Times New Roman"/>
          <w:b/>
          <w:bCs/>
          <w:color w:val="auto"/>
          <w:lang w:eastAsia="el-GR"/>
        </w:rPr>
        <w:t>Chemical inhibition of SUMOylation, NEDDylation, or UPS sub-routines induces ATF4-dependent activation of Endoplasmic-Reticulum (ER) stress in hepatic cells.</w:t>
      </w:r>
      <w:r w:rsidR="006E1608" w:rsidRPr="006563C1">
        <w:rPr>
          <w:rFonts w:eastAsia="Times New Roman"/>
          <w:b/>
          <w:bCs/>
          <w:color w:val="auto"/>
          <w:lang w:eastAsia="el-GR"/>
        </w:rPr>
        <w:t xml:space="preserve"> </w:t>
      </w:r>
      <w:r w:rsidRPr="006563C1">
        <w:rPr>
          <w:lang w:val="en-GB" w:eastAsia="el-GR"/>
        </w:rPr>
        <w:t xml:space="preserve">Immunofluorescence images, illustrating the ATF4-protein immunodetection pattern in the nucleus of LX-2 cells (white arrows), 24 h after treatment with 1 </w:t>
      </w:r>
      <w:r w:rsidRPr="006563C1">
        <w:rPr>
          <w:lang w:val="el-GR" w:eastAsia="el-GR"/>
        </w:rPr>
        <w:t>μ</w:t>
      </w:r>
      <w:r w:rsidRPr="006563C1">
        <w:rPr>
          <w:lang w:val="en-GB" w:eastAsia="el-GR"/>
        </w:rPr>
        <w:t xml:space="preserve">M TAK-981 (SUMOylation inhibitor), MLN-4924 (NEDDylation inhibitor), Bortezomib (Proteasome inhibitor) and DMSO (control). Green color: ATF4; Red color: </w:t>
      </w:r>
      <w:r w:rsidRPr="006563C1">
        <w:rPr>
          <w:lang w:val="el-GR" w:eastAsia="el-GR"/>
        </w:rPr>
        <w:t>α</w:t>
      </w:r>
      <w:r w:rsidRPr="006563C1">
        <w:rPr>
          <w:lang w:val="en-GB" w:eastAsia="el-GR"/>
        </w:rPr>
        <w:t xml:space="preserve">-Tubulin; Blue color: Nucleus (DAPI). Scale bars: 10 </w:t>
      </w:r>
      <w:r w:rsidRPr="006563C1">
        <w:rPr>
          <w:lang w:val="el-GR" w:eastAsia="el-GR"/>
        </w:rPr>
        <w:t>μ</w:t>
      </w:r>
      <w:r w:rsidRPr="006563C1">
        <w:rPr>
          <w:lang w:val="en-GB" w:eastAsia="el-GR"/>
        </w:rPr>
        <w:t>m.</w:t>
      </w:r>
    </w:p>
    <w:p w14:paraId="6BD35E63" w14:textId="77777777" w:rsidR="00A76D7C" w:rsidRDefault="00A76D7C" w:rsidP="00A76D7C">
      <w:pPr>
        <w:pStyle w:val="MDPI21heading1"/>
        <w:spacing w:before="0"/>
        <w:ind w:left="0"/>
      </w:pPr>
    </w:p>
    <w:p w14:paraId="0898DCE4" w14:textId="77777777" w:rsidR="00130AA9" w:rsidRDefault="00130AA9" w:rsidP="00A76D7C">
      <w:pPr>
        <w:pStyle w:val="MDPI21heading1"/>
        <w:spacing w:before="0"/>
        <w:ind w:left="0"/>
      </w:pPr>
    </w:p>
    <w:p w14:paraId="77BC0B4F" w14:textId="77777777" w:rsidR="00130AA9" w:rsidRDefault="00130AA9" w:rsidP="00A76D7C">
      <w:pPr>
        <w:pStyle w:val="MDPI21heading1"/>
        <w:spacing w:before="0"/>
        <w:ind w:left="0"/>
      </w:pPr>
    </w:p>
    <w:p w14:paraId="61CD302E" w14:textId="77777777" w:rsidR="00130AA9" w:rsidRDefault="00130AA9" w:rsidP="00A76D7C">
      <w:pPr>
        <w:pStyle w:val="MDPI21heading1"/>
        <w:spacing w:before="0"/>
        <w:ind w:left="0"/>
      </w:pPr>
    </w:p>
    <w:p w14:paraId="5CE4153D" w14:textId="77777777" w:rsidR="00130AA9" w:rsidRPr="006563C1" w:rsidRDefault="00130AA9" w:rsidP="00A76D7C">
      <w:pPr>
        <w:pStyle w:val="MDPI21heading1"/>
        <w:spacing w:before="0"/>
        <w:ind w:left="0"/>
      </w:pPr>
    </w:p>
    <w:p w14:paraId="5127E1F4" w14:textId="775FDBC9" w:rsidR="00A76D7C" w:rsidRPr="006563C1" w:rsidRDefault="00A76D7C" w:rsidP="00FD4B34">
      <w:pPr>
        <w:pStyle w:val="MDPI21heading1"/>
        <w:spacing w:before="0"/>
        <w:ind w:left="0"/>
        <w:jc w:val="center"/>
      </w:pPr>
      <w:r w:rsidRPr="006563C1">
        <w:rPr>
          <w:noProof/>
          <w:snapToGrid/>
        </w:rPr>
        <w:lastRenderedPageBreak/>
        <w:drawing>
          <wp:inline distT="0" distB="0" distL="0" distR="0" wp14:anchorId="337FAA7A" wp14:editId="73FCDDE4">
            <wp:extent cx="5180330" cy="1990725"/>
            <wp:effectExtent l="0" t="0" r="1270" b="9525"/>
            <wp:docPr id="239706784" name="Picture 18"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706784" name="Picture 18" descr="A diagram of a graph&#10;&#10;Description automatically generated"/>
                    <pic:cNvPicPr/>
                  </pic:nvPicPr>
                  <pic:blipFill rotWithShape="1">
                    <a:blip r:embed="rId15"/>
                    <a:srcRect t="16017" b="15665"/>
                    <a:stretch/>
                  </pic:blipFill>
                  <pic:spPr bwMode="auto">
                    <a:xfrm>
                      <a:off x="0" y="0"/>
                      <a:ext cx="5186123" cy="1992951"/>
                    </a:xfrm>
                    <a:prstGeom prst="rect">
                      <a:avLst/>
                    </a:prstGeom>
                    <a:ln>
                      <a:noFill/>
                    </a:ln>
                    <a:extLst>
                      <a:ext uri="{53640926-AAD7-44D8-BBD7-CCE9431645EC}">
                        <a14:shadowObscured xmlns:a14="http://schemas.microsoft.com/office/drawing/2010/main"/>
                      </a:ext>
                    </a:extLst>
                  </pic:spPr>
                </pic:pic>
              </a:graphicData>
            </a:graphic>
          </wp:inline>
        </w:drawing>
      </w:r>
    </w:p>
    <w:p w14:paraId="44F73187" w14:textId="49AF0264" w:rsidR="00644B2A" w:rsidRPr="006563C1" w:rsidRDefault="00644B2A" w:rsidP="006E1608">
      <w:pPr>
        <w:pStyle w:val="MDPI511onefigurecaption"/>
        <w:jc w:val="both"/>
        <w:rPr>
          <w:rFonts w:eastAsia="Times New Roman"/>
          <w:b/>
          <w:bCs/>
          <w:color w:val="auto"/>
          <w:lang w:eastAsia="el-GR"/>
        </w:rPr>
      </w:pPr>
      <w:r w:rsidRPr="006563C1">
        <w:rPr>
          <w:rFonts w:eastAsia="Times New Roman"/>
          <w:b/>
          <w:bCs/>
          <w:color w:val="auto"/>
          <w:lang w:eastAsia="el-GR"/>
        </w:rPr>
        <w:t>Supplementary Figure S5</w:t>
      </w:r>
      <w:r w:rsidR="00130AA9">
        <w:rPr>
          <w:rFonts w:eastAsia="Times New Roman"/>
          <w:b/>
          <w:bCs/>
          <w:color w:val="auto"/>
          <w:lang w:eastAsia="el-GR"/>
        </w:rPr>
        <w:t xml:space="preserve">. </w:t>
      </w:r>
      <w:r w:rsidR="00130AA9" w:rsidRPr="00130AA9">
        <w:rPr>
          <w:rFonts w:eastAsia="Times New Roman"/>
          <w:b/>
          <w:bCs/>
          <w:color w:val="auto"/>
          <w:lang w:eastAsia="el-GR"/>
        </w:rPr>
        <w:t>Targeted inhibition of SUMOylation, NEDDylation, or Proteasomal-degradation activities causes irregularities in mitotic rates of hepatic cells.</w:t>
      </w:r>
      <w:r w:rsidR="006E1608" w:rsidRPr="006563C1">
        <w:rPr>
          <w:rFonts w:eastAsia="Times New Roman"/>
          <w:b/>
          <w:bCs/>
          <w:color w:val="auto"/>
          <w:lang w:eastAsia="el-GR"/>
        </w:rPr>
        <w:t xml:space="preserve"> </w:t>
      </w:r>
      <w:r w:rsidRPr="006563C1">
        <w:rPr>
          <w:lang w:val="en-GB" w:eastAsia="el-GR"/>
        </w:rPr>
        <w:t xml:space="preserve">Box-plot graphically displaying the percentage of mitotic-cell number (%), 24 h after LX-2 cell exposure to 1 </w:t>
      </w:r>
      <w:r w:rsidRPr="006563C1">
        <w:rPr>
          <w:lang w:val="el-GR" w:eastAsia="el-GR"/>
        </w:rPr>
        <w:t>μ</w:t>
      </w:r>
      <w:r w:rsidRPr="006563C1">
        <w:rPr>
          <w:lang w:val="en-GB" w:eastAsia="el-GR"/>
        </w:rPr>
        <w:t xml:space="preserve">M TAK-981 (SUMOylation inhibitor), MLN-4924 (NEDDylation inhibitor) and Bortezomib (Proteasome inhibitor) compounds, as compared to control cells (1 </w:t>
      </w:r>
      <w:r w:rsidRPr="006563C1">
        <w:rPr>
          <w:lang w:val="el-GR" w:eastAsia="el-GR"/>
        </w:rPr>
        <w:t>μ</w:t>
      </w:r>
      <w:r w:rsidRPr="006563C1">
        <w:rPr>
          <w:lang w:val="en-GB" w:eastAsia="el-GR"/>
        </w:rPr>
        <w:t xml:space="preserve">M DMSO). * - ** - ***: </w:t>
      </w:r>
      <w:r w:rsidRPr="006563C1">
        <w:rPr>
          <w:i/>
          <w:iCs/>
          <w:lang w:val="en-GB" w:eastAsia="el-GR"/>
        </w:rPr>
        <w:t>p</w:t>
      </w:r>
      <w:r w:rsidRPr="006563C1">
        <w:rPr>
          <w:lang w:val="en-GB" w:eastAsia="el-GR"/>
        </w:rPr>
        <w:t>&lt;0,05. Note that SUMOylation, NEDDylation and Proteasome inhibition can significantly affect proliferation rates of LX-2 hepatic cells.</w:t>
      </w:r>
    </w:p>
    <w:p w14:paraId="689952FE" w14:textId="77777777" w:rsidR="00A76D7C" w:rsidRPr="006563C1" w:rsidRDefault="00A76D7C" w:rsidP="00A76D7C">
      <w:pPr>
        <w:pStyle w:val="MDPI21heading1"/>
        <w:spacing w:before="0"/>
        <w:ind w:left="0"/>
      </w:pPr>
    </w:p>
    <w:p w14:paraId="085861DC" w14:textId="6227E124" w:rsidR="00A76D7C" w:rsidRPr="006563C1" w:rsidRDefault="00A76D7C" w:rsidP="00A76D7C">
      <w:pPr>
        <w:pStyle w:val="MDPI21heading1"/>
        <w:spacing w:before="0"/>
        <w:ind w:left="0"/>
      </w:pPr>
      <w:r w:rsidRPr="006563C1">
        <w:rPr>
          <w:noProof/>
          <w:snapToGrid/>
        </w:rPr>
        <w:drawing>
          <wp:inline distT="0" distB="0" distL="0" distR="0" wp14:anchorId="2EF507E8" wp14:editId="63E9C71C">
            <wp:extent cx="6645910" cy="3738245"/>
            <wp:effectExtent l="0" t="0" r="2540" b="0"/>
            <wp:docPr id="2096728998" name="Picture 19" descr="A collage of images of ce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728998" name="Picture 19" descr="A collage of images of cells&#10;&#10;Description automatically generated"/>
                    <pic:cNvPicPr/>
                  </pic:nvPicPr>
                  <pic:blipFill>
                    <a:blip r:embed="rId16"/>
                    <a:stretch>
                      <a:fillRect/>
                    </a:stretch>
                  </pic:blipFill>
                  <pic:spPr>
                    <a:xfrm>
                      <a:off x="0" y="0"/>
                      <a:ext cx="6645910" cy="3738245"/>
                    </a:xfrm>
                    <a:prstGeom prst="rect">
                      <a:avLst/>
                    </a:prstGeom>
                  </pic:spPr>
                </pic:pic>
              </a:graphicData>
            </a:graphic>
          </wp:inline>
        </w:drawing>
      </w:r>
    </w:p>
    <w:p w14:paraId="6BF136E2" w14:textId="738A34FE" w:rsidR="006E1608" w:rsidRPr="006563C1" w:rsidRDefault="006E1608" w:rsidP="003905AB">
      <w:pPr>
        <w:pStyle w:val="MDPI511onefigurecaption"/>
        <w:jc w:val="both"/>
        <w:rPr>
          <w:rFonts w:eastAsiaTheme="minorEastAsia"/>
          <w:lang w:val="en-GB" w:eastAsia="el-GR"/>
        </w:rPr>
      </w:pPr>
      <w:r w:rsidRPr="006563C1">
        <w:rPr>
          <w:rFonts w:eastAsia="Times New Roman"/>
          <w:b/>
          <w:bCs/>
          <w:color w:val="auto"/>
          <w:lang w:eastAsia="el-GR"/>
        </w:rPr>
        <w:t>Supplementary Figure S6</w:t>
      </w:r>
      <w:r w:rsidR="00130AA9">
        <w:rPr>
          <w:rFonts w:eastAsia="Times New Roman"/>
          <w:b/>
          <w:bCs/>
          <w:color w:val="auto"/>
          <w:lang w:eastAsia="el-GR"/>
        </w:rPr>
        <w:t xml:space="preserve">. </w:t>
      </w:r>
      <w:r w:rsidR="00130AA9" w:rsidRPr="00130AA9">
        <w:rPr>
          <w:rFonts w:eastAsia="Times New Roman"/>
          <w:b/>
          <w:bCs/>
          <w:color w:val="auto"/>
          <w:lang w:eastAsia="el-GR"/>
        </w:rPr>
        <w:t>Functional disintegration of major signaling pathways proves unable to alter PACT-specific immunophenotypes in hepatic cells</w:t>
      </w:r>
      <w:r w:rsidRPr="006563C1">
        <w:rPr>
          <w:rFonts w:eastAsia="Times New Roman"/>
          <w:b/>
          <w:bCs/>
          <w:color w:val="auto"/>
          <w:lang w:eastAsia="el-GR"/>
        </w:rPr>
        <w:t>.</w:t>
      </w:r>
      <w:r w:rsidR="003905AB" w:rsidRPr="006563C1">
        <w:rPr>
          <w:rFonts w:eastAsia="Times New Roman"/>
          <w:b/>
          <w:bCs/>
          <w:color w:val="auto"/>
          <w:lang w:eastAsia="el-GR"/>
        </w:rPr>
        <w:t xml:space="preserve"> </w:t>
      </w:r>
      <w:r w:rsidRPr="006563C1">
        <w:rPr>
          <w:rFonts w:eastAsiaTheme="minorEastAsia"/>
          <w:lang w:val="en-GB" w:eastAsia="el-GR"/>
        </w:rPr>
        <w:t xml:space="preserve">Immunofluorescence images of LX-2 cells, presenting PACT expression in mitotic cells, 24 h after treatment with </w:t>
      </w:r>
      <w:r w:rsidRPr="006563C1">
        <w:rPr>
          <w:lang w:eastAsia="el-GR"/>
        </w:rPr>
        <w:t xml:space="preserve">100 </w:t>
      </w:r>
      <w:r w:rsidRPr="006563C1">
        <w:rPr>
          <w:lang w:val="el-GR" w:eastAsia="el-GR"/>
        </w:rPr>
        <w:t>μ</w:t>
      </w:r>
      <w:r w:rsidRPr="006563C1">
        <w:rPr>
          <w:lang w:eastAsia="el-GR"/>
        </w:rPr>
        <w:t xml:space="preserve">M </w:t>
      </w:r>
      <w:r w:rsidRPr="006563C1">
        <w:rPr>
          <w:lang w:val="en-GB" w:eastAsia="el-GR"/>
        </w:rPr>
        <w:t>U0126 [MEKs (ERKs) inhibitor]</w:t>
      </w:r>
      <w:r w:rsidRPr="006563C1">
        <w:rPr>
          <w:lang w:eastAsia="el-GR"/>
        </w:rPr>
        <w:t xml:space="preserve">, 50 </w:t>
      </w:r>
      <w:r w:rsidRPr="006563C1">
        <w:rPr>
          <w:lang w:val="el-GR" w:eastAsia="el-GR"/>
        </w:rPr>
        <w:t>μ</w:t>
      </w:r>
      <w:r w:rsidRPr="006563C1">
        <w:rPr>
          <w:lang w:eastAsia="el-GR"/>
        </w:rPr>
        <w:t xml:space="preserve">M SP600125 (JNKs inhibitor), 100 </w:t>
      </w:r>
      <w:r w:rsidRPr="006563C1">
        <w:rPr>
          <w:lang w:val="el-GR" w:eastAsia="el-GR"/>
        </w:rPr>
        <w:t>μ</w:t>
      </w:r>
      <w:r w:rsidRPr="006563C1">
        <w:rPr>
          <w:lang w:eastAsia="el-GR"/>
        </w:rPr>
        <w:t>M SB203580 (p38 MAPK inhibitor) and</w:t>
      </w:r>
      <w:r w:rsidRPr="006563C1">
        <w:rPr>
          <w:color w:val="FF0000"/>
          <w:lang w:eastAsia="el-GR"/>
        </w:rPr>
        <w:t xml:space="preserve"> </w:t>
      </w:r>
      <w:r w:rsidRPr="006563C1">
        <w:rPr>
          <w:color w:val="auto"/>
          <w:lang w:eastAsia="el-GR"/>
        </w:rPr>
        <w:t xml:space="preserve">25 </w:t>
      </w:r>
      <w:r w:rsidRPr="006563C1">
        <w:rPr>
          <w:color w:val="auto"/>
          <w:lang w:val="el-GR" w:eastAsia="el-GR"/>
        </w:rPr>
        <w:t>μ</w:t>
      </w:r>
      <w:r w:rsidRPr="006563C1">
        <w:rPr>
          <w:color w:val="auto"/>
          <w:lang w:eastAsia="el-GR"/>
        </w:rPr>
        <w:t>M MK-2206 (AKTs inhibitor) chemical compounds</w:t>
      </w:r>
      <w:r w:rsidRPr="006563C1">
        <w:rPr>
          <w:rFonts w:eastAsiaTheme="minorEastAsia"/>
          <w:lang w:val="en-GB" w:eastAsia="el-GR"/>
        </w:rPr>
        <w:t xml:space="preserve">. DMSO was used as control condition. Green color: PACT; Red color: </w:t>
      </w:r>
      <w:r w:rsidRPr="006563C1">
        <w:rPr>
          <w:rFonts w:eastAsiaTheme="minorEastAsia"/>
          <w:lang w:val="el-GR" w:eastAsia="el-GR"/>
        </w:rPr>
        <w:t>α</w:t>
      </w:r>
      <w:r w:rsidRPr="006563C1">
        <w:rPr>
          <w:rFonts w:eastAsiaTheme="minorEastAsia"/>
          <w:lang w:val="en-GB" w:eastAsia="el-GR"/>
        </w:rPr>
        <w:t xml:space="preserve">-Tubulin; Blue color: Nucleus (DAPI). Scale bars: 10 </w:t>
      </w:r>
      <w:r w:rsidRPr="006563C1">
        <w:rPr>
          <w:rFonts w:eastAsiaTheme="minorEastAsia"/>
          <w:lang w:val="el-GR" w:eastAsia="el-GR"/>
        </w:rPr>
        <w:t>μ</w:t>
      </w:r>
      <w:r w:rsidRPr="006563C1">
        <w:rPr>
          <w:rFonts w:eastAsiaTheme="minorEastAsia"/>
          <w:lang w:val="en-GB" w:eastAsia="el-GR"/>
        </w:rPr>
        <w:t>m. Note that the chemical inhibition of critical signaling pathways cannot affect PACT protein-expression profile (yellow arrows), although aberrant mitoses are being formed in the presence of each inhibitor (inserts), strongly suggesting their (inhibitors’) pathogenic actions in LX-2 dividing cells.</w:t>
      </w:r>
    </w:p>
    <w:p w14:paraId="41E79CD1" w14:textId="77777777" w:rsidR="003905AB" w:rsidRPr="006563C1" w:rsidRDefault="003905AB" w:rsidP="003905AB">
      <w:pPr>
        <w:pStyle w:val="MDPI511onefigurecaption"/>
        <w:jc w:val="both"/>
        <w:rPr>
          <w:rFonts w:eastAsiaTheme="minorEastAsia"/>
          <w:lang w:val="en-GB" w:eastAsia="el-GR"/>
        </w:rPr>
      </w:pPr>
    </w:p>
    <w:p w14:paraId="6C84DB93" w14:textId="1BA0A853" w:rsidR="00A76D7C" w:rsidRPr="006563C1" w:rsidRDefault="00A76D7C" w:rsidP="00A76D7C">
      <w:pPr>
        <w:pStyle w:val="MDPI21heading1"/>
        <w:spacing w:before="0"/>
        <w:ind w:left="0"/>
      </w:pPr>
      <w:r w:rsidRPr="006563C1">
        <w:rPr>
          <w:noProof/>
          <w:snapToGrid/>
        </w:rPr>
        <w:lastRenderedPageBreak/>
        <w:drawing>
          <wp:inline distT="0" distB="0" distL="0" distR="0" wp14:anchorId="7D662675" wp14:editId="637846DB">
            <wp:extent cx="6645910" cy="3738245"/>
            <wp:effectExtent l="0" t="0" r="2540" b="0"/>
            <wp:docPr id="1612094360" name="Picture 20" descr="A collage of images of ce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94360" name="Picture 20" descr="A collage of images of cells&#10;&#10;Description automatically generated"/>
                    <pic:cNvPicPr/>
                  </pic:nvPicPr>
                  <pic:blipFill>
                    <a:blip r:embed="rId17"/>
                    <a:stretch>
                      <a:fillRect/>
                    </a:stretch>
                  </pic:blipFill>
                  <pic:spPr>
                    <a:xfrm>
                      <a:off x="0" y="0"/>
                      <a:ext cx="6645910" cy="3738245"/>
                    </a:xfrm>
                    <a:prstGeom prst="rect">
                      <a:avLst/>
                    </a:prstGeom>
                  </pic:spPr>
                </pic:pic>
              </a:graphicData>
            </a:graphic>
          </wp:inline>
        </w:drawing>
      </w:r>
    </w:p>
    <w:p w14:paraId="2B1DD8C3" w14:textId="0687E6DB" w:rsidR="006E1608" w:rsidRPr="006563C1" w:rsidRDefault="006E1608" w:rsidP="003905AB">
      <w:pPr>
        <w:pStyle w:val="MDPI511onefigurecaption"/>
        <w:jc w:val="both"/>
        <w:rPr>
          <w:lang w:val="en-GB" w:eastAsia="el-GR"/>
        </w:rPr>
      </w:pPr>
      <w:r w:rsidRPr="006563C1">
        <w:rPr>
          <w:rFonts w:eastAsia="Times New Roman"/>
          <w:b/>
          <w:bCs/>
          <w:color w:val="auto"/>
          <w:lang w:eastAsia="el-GR"/>
        </w:rPr>
        <w:t>Supplementary Figure S7</w:t>
      </w:r>
      <w:r w:rsidR="00130AA9">
        <w:rPr>
          <w:rFonts w:eastAsia="Times New Roman"/>
          <w:b/>
          <w:bCs/>
          <w:color w:val="auto"/>
          <w:lang w:eastAsia="el-GR"/>
        </w:rPr>
        <w:t xml:space="preserve">. </w:t>
      </w:r>
      <w:r w:rsidR="00130AA9" w:rsidRPr="00130AA9">
        <w:rPr>
          <w:rFonts w:eastAsia="Times New Roman"/>
          <w:b/>
          <w:bCs/>
          <w:color w:val="auto"/>
          <w:lang w:eastAsia="el-GR"/>
        </w:rPr>
        <w:t>Chemical poisoning of Microtubule-cytoskeleton dynamics cannot affect PACT-expression and -compartmentalization patterns in hepatic cells</w:t>
      </w:r>
      <w:r w:rsidRPr="006563C1">
        <w:rPr>
          <w:rFonts w:eastAsia="Times New Roman"/>
          <w:b/>
          <w:bCs/>
          <w:color w:val="auto"/>
          <w:lang w:eastAsia="el-GR"/>
        </w:rPr>
        <w:t>.</w:t>
      </w:r>
      <w:r w:rsidR="003905AB" w:rsidRPr="006563C1">
        <w:rPr>
          <w:rFonts w:eastAsia="Times New Roman"/>
          <w:b/>
          <w:bCs/>
          <w:color w:val="auto"/>
          <w:lang w:eastAsia="el-GR"/>
        </w:rPr>
        <w:t xml:space="preserve"> </w:t>
      </w:r>
      <w:r w:rsidRPr="006563C1">
        <w:rPr>
          <w:lang w:val="en-GB" w:eastAsia="el-GR"/>
        </w:rPr>
        <w:t xml:space="preserve">Immunofluorescence images of LX-2 cells, depicting PACT expression and distribution, 6 h after administration of the Microtubule-polymerization inhibitor Demecolcine (0,4 </w:t>
      </w:r>
      <w:r w:rsidRPr="006563C1">
        <w:rPr>
          <w:lang w:val="el-GR" w:eastAsia="el-GR"/>
        </w:rPr>
        <w:t>μ</w:t>
      </w:r>
      <w:r w:rsidRPr="006563C1">
        <w:rPr>
          <w:lang w:val="en-GB" w:eastAsia="el-GR"/>
        </w:rPr>
        <w:t>g/</w:t>
      </w:r>
      <w:r w:rsidRPr="006563C1">
        <w:rPr>
          <w:lang w:val="el-GR" w:eastAsia="el-GR"/>
        </w:rPr>
        <w:t>μ</w:t>
      </w:r>
      <w:r w:rsidRPr="006563C1">
        <w:rPr>
          <w:lang w:val="en-GB" w:eastAsia="el-GR"/>
        </w:rPr>
        <w:t xml:space="preserve">L), in interphase (upper panels) and mitotic (lower panels) cells. PACT protein is expressed both in interphase and in dividing (mitotic) cells (yellow arrows), in inhibitor-treated and control (DMSO) cells. Green color: PACT; Red color: </w:t>
      </w:r>
      <w:r w:rsidRPr="006563C1">
        <w:rPr>
          <w:lang w:val="el-GR" w:eastAsia="el-GR"/>
        </w:rPr>
        <w:t>α</w:t>
      </w:r>
      <w:r w:rsidRPr="006563C1">
        <w:rPr>
          <w:lang w:val="en-GB" w:eastAsia="el-GR"/>
        </w:rPr>
        <w:t xml:space="preserve">-Tubulin; Blue color: Nucleus (DAPI). Scale bars: 10 </w:t>
      </w:r>
      <w:r w:rsidRPr="006563C1">
        <w:rPr>
          <w:lang w:val="el-GR" w:eastAsia="el-GR"/>
        </w:rPr>
        <w:t>μ</w:t>
      </w:r>
      <w:r w:rsidRPr="006563C1">
        <w:rPr>
          <w:lang w:val="en-GB" w:eastAsia="el-GR"/>
        </w:rPr>
        <w:t>m. Note the Microtubule-network disruption in the Demecolcine-exposed LX-2 dividing (mitotic) cells.</w:t>
      </w:r>
    </w:p>
    <w:p w14:paraId="58B0D646" w14:textId="77777777" w:rsidR="00A76D7C" w:rsidRPr="006563C1" w:rsidRDefault="00A76D7C" w:rsidP="00A76D7C">
      <w:pPr>
        <w:pStyle w:val="MDPI21heading1"/>
        <w:spacing w:before="0"/>
        <w:ind w:left="0"/>
        <w:rPr>
          <w:lang w:val="en-GB"/>
        </w:rPr>
      </w:pPr>
    </w:p>
    <w:p w14:paraId="493910BC" w14:textId="595E6237" w:rsidR="00A76D7C" w:rsidRPr="006563C1" w:rsidRDefault="00A76D7C" w:rsidP="00A76D7C">
      <w:pPr>
        <w:pStyle w:val="MDPI21heading1"/>
        <w:spacing w:before="0"/>
        <w:ind w:left="0"/>
      </w:pPr>
      <w:r w:rsidRPr="006563C1">
        <w:rPr>
          <w:noProof/>
          <w:snapToGrid/>
        </w:rPr>
        <w:lastRenderedPageBreak/>
        <w:drawing>
          <wp:inline distT="0" distB="0" distL="0" distR="0" wp14:anchorId="14EAD0D8" wp14:editId="4D357C3D">
            <wp:extent cx="6607295" cy="4581525"/>
            <wp:effectExtent l="0" t="0" r="3175" b="0"/>
            <wp:docPr id="1501013934" name="Picture 21" descr="A screenshot of a grid of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013934" name="Picture 21" descr="A screenshot of a grid of squares&#10;&#10;Description automatically generated"/>
                    <pic:cNvPicPr/>
                  </pic:nvPicPr>
                  <pic:blipFill rotWithShape="1">
                    <a:blip r:embed="rId18"/>
                    <a:srcRect l="8886" r="9994"/>
                    <a:stretch/>
                  </pic:blipFill>
                  <pic:spPr bwMode="auto">
                    <a:xfrm>
                      <a:off x="0" y="0"/>
                      <a:ext cx="6613171" cy="4585600"/>
                    </a:xfrm>
                    <a:prstGeom prst="rect">
                      <a:avLst/>
                    </a:prstGeom>
                    <a:ln>
                      <a:noFill/>
                    </a:ln>
                    <a:extLst>
                      <a:ext uri="{53640926-AAD7-44D8-BBD7-CCE9431645EC}">
                        <a14:shadowObscured xmlns:a14="http://schemas.microsoft.com/office/drawing/2010/main"/>
                      </a:ext>
                    </a:extLst>
                  </pic:spPr>
                </pic:pic>
              </a:graphicData>
            </a:graphic>
          </wp:inline>
        </w:drawing>
      </w:r>
    </w:p>
    <w:p w14:paraId="4DF207A4" w14:textId="11B9FC6A" w:rsidR="006E1608" w:rsidRPr="006563C1" w:rsidRDefault="006E1608" w:rsidP="003905AB">
      <w:pPr>
        <w:pStyle w:val="MDPI511onefigurecaption"/>
        <w:jc w:val="both"/>
        <w:rPr>
          <w:lang w:eastAsia="el-GR"/>
        </w:rPr>
      </w:pPr>
      <w:r w:rsidRPr="006563C1">
        <w:rPr>
          <w:rFonts w:eastAsia="Times New Roman"/>
          <w:b/>
          <w:bCs/>
          <w:color w:val="auto"/>
          <w:lang w:eastAsia="el-GR"/>
        </w:rPr>
        <w:t>Supplementary Figure S8</w:t>
      </w:r>
      <w:r w:rsidR="00130AA9">
        <w:rPr>
          <w:rFonts w:eastAsia="Times New Roman"/>
          <w:b/>
          <w:bCs/>
          <w:color w:val="auto"/>
          <w:lang w:eastAsia="el-GR"/>
        </w:rPr>
        <w:t xml:space="preserve">. </w:t>
      </w:r>
      <w:r w:rsidR="00130AA9" w:rsidRPr="00130AA9">
        <w:rPr>
          <w:rFonts w:eastAsia="Times New Roman"/>
          <w:b/>
          <w:bCs/>
          <w:i/>
          <w:iCs/>
          <w:color w:val="auto"/>
          <w:lang w:eastAsia="el-GR"/>
        </w:rPr>
        <w:t>In silico</w:t>
      </w:r>
      <w:r w:rsidR="00130AA9" w:rsidRPr="00130AA9">
        <w:rPr>
          <w:rFonts w:eastAsia="Times New Roman"/>
          <w:b/>
          <w:bCs/>
          <w:color w:val="auto"/>
          <w:lang w:eastAsia="el-GR"/>
        </w:rPr>
        <w:t xml:space="preserve"> mapping of PACT-specific interactomes in cell compartment- and pathology-dependent manners</w:t>
      </w:r>
      <w:r w:rsidRPr="006563C1">
        <w:rPr>
          <w:rFonts w:eastAsia="Times New Roman"/>
          <w:b/>
          <w:bCs/>
          <w:color w:val="auto"/>
          <w:lang w:eastAsia="el-GR"/>
        </w:rPr>
        <w:t>.</w:t>
      </w:r>
      <w:r w:rsidR="003905AB" w:rsidRPr="006563C1">
        <w:rPr>
          <w:rFonts w:eastAsia="Times New Roman"/>
          <w:b/>
          <w:bCs/>
          <w:color w:val="auto"/>
          <w:lang w:eastAsia="el-GR"/>
        </w:rPr>
        <w:t xml:space="preserve"> </w:t>
      </w:r>
      <w:r w:rsidRPr="006563C1">
        <w:rPr>
          <w:lang w:val="en-GB" w:eastAsia="el-GR"/>
        </w:rPr>
        <w:t xml:space="preserve">Dot-blots graphically displaying </w:t>
      </w:r>
      <w:r w:rsidRPr="006563C1">
        <w:rPr>
          <w:lang w:eastAsia="el-GR"/>
        </w:rPr>
        <w:t>binary interactions of PACT protein, in different sub-cellular compartments, and especially in the cytoplasm (upper panels) and the nucleus (lower panels), in diverse human diseases (a-h), including cancer (e.g., Wilms tumor).</w:t>
      </w:r>
      <w:r w:rsidRPr="006563C1">
        <w:rPr>
          <w:lang w:val="en-GB" w:eastAsia="el-GR"/>
        </w:rPr>
        <w:t xml:space="preserve"> Note the distinct composition of components in between the TRBP (</w:t>
      </w:r>
      <w:r w:rsidRPr="006563C1">
        <w:rPr>
          <w:b/>
          <w:bCs/>
          <w:lang w:val="en-GB" w:eastAsia="el-GR"/>
        </w:rPr>
        <w:t>Fig. 13</w:t>
      </w:r>
      <w:r w:rsidRPr="006563C1">
        <w:rPr>
          <w:lang w:val="en-GB" w:eastAsia="el-GR"/>
        </w:rPr>
        <w:t>) and PACT (</w:t>
      </w:r>
      <w:r w:rsidRPr="006563C1">
        <w:rPr>
          <w:b/>
          <w:bCs/>
          <w:lang w:val="en-GB" w:eastAsia="el-GR"/>
        </w:rPr>
        <w:t>Suppl. Fig. S8</w:t>
      </w:r>
      <w:r w:rsidRPr="006563C1">
        <w:rPr>
          <w:lang w:val="en-GB" w:eastAsia="el-GR"/>
        </w:rPr>
        <w:t>) respective interactomes.</w:t>
      </w:r>
    </w:p>
    <w:p w14:paraId="3561BF4B" w14:textId="77777777" w:rsidR="003905AB" w:rsidRPr="006563C1" w:rsidRDefault="003905AB" w:rsidP="00A76D7C">
      <w:pPr>
        <w:pStyle w:val="MDPI21heading1"/>
        <w:spacing w:before="0"/>
        <w:ind w:left="0"/>
        <w:rPr>
          <w:lang w:val="en-GB"/>
        </w:rPr>
      </w:pPr>
    </w:p>
    <w:p w14:paraId="67EBDCD4" w14:textId="4861B6D5" w:rsidR="00A76D7C" w:rsidRPr="006563C1" w:rsidRDefault="00A76D7C" w:rsidP="00A76D7C">
      <w:pPr>
        <w:pStyle w:val="MDPI21heading1"/>
        <w:spacing w:before="0"/>
        <w:ind w:left="0"/>
      </w:pPr>
      <w:r w:rsidRPr="006563C1">
        <w:rPr>
          <w:noProof/>
          <w:snapToGrid/>
        </w:rPr>
        <w:lastRenderedPageBreak/>
        <w:drawing>
          <wp:inline distT="0" distB="0" distL="0" distR="0" wp14:anchorId="67AFE5D7" wp14:editId="265105F9">
            <wp:extent cx="6645910" cy="3738245"/>
            <wp:effectExtent l="0" t="0" r="2540" b="0"/>
            <wp:docPr id="2032508670" name="Picture 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508670" name="Picture 22" descr="A screenshot of a computer&#10;&#10;Description automatically generated"/>
                    <pic:cNvPicPr/>
                  </pic:nvPicPr>
                  <pic:blipFill>
                    <a:blip r:embed="rId19"/>
                    <a:stretch>
                      <a:fillRect/>
                    </a:stretch>
                  </pic:blipFill>
                  <pic:spPr>
                    <a:xfrm>
                      <a:off x="0" y="0"/>
                      <a:ext cx="6645910" cy="3738245"/>
                    </a:xfrm>
                    <a:prstGeom prst="rect">
                      <a:avLst/>
                    </a:prstGeom>
                  </pic:spPr>
                </pic:pic>
              </a:graphicData>
            </a:graphic>
          </wp:inline>
        </w:drawing>
      </w:r>
    </w:p>
    <w:p w14:paraId="7E2CD8C5" w14:textId="082AB948" w:rsidR="006E1608" w:rsidRPr="006563C1" w:rsidRDefault="006E1608" w:rsidP="003905AB">
      <w:pPr>
        <w:pStyle w:val="MDPI511onefigurecaption"/>
        <w:jc w:val="both"/>
        <w:rPr>
          <w:lang w:val="en-GB" w:eastAsia="el-GR"/>
        </w:rPr>
      </w:pPr>
      <w:r w:rsidRPr="006563C1">
        <w:rPr>
          <w:rFonts w:eastAsia="Times New Roman"/>
          <w:b/>
          <w:bCs/>
          <w:color w:val="auto"/>
          <w:lang w:eastAsia="el-GR"/>
        </w:rPr>
        <w:t>Supplementary Figure S9</w:t>
      </w:r>
      <w:r w:rsidR="00130AA9">
        <w:rPr>
          <w:rFonts w:eastAsia="Times New Roman"/>
          <w:b/>
          <w:bCs/>
          <w:color w:val="auto"/>
          <w:lang w:eastAsia="el-GR"/>
        </w:rPr>
        <w:t xml:space="preserve">. </w:t>
      </w:r>
      <w:r w:rsidR="00130AA9" w:rsidRPr="00130AA9">
        <w:rPr>
          <w:rFonts w:eastAsia="Times New Roman"/>
          <w:b/>
          <w:bCs/>
          <w:color w:val="auto"/>
          <w:lang w:eastAsia="el-GR"/>
        </w:rPr>
        <w:t>Molecular modelling of TRBP2 and Ubc9 interaction</w:t>
      </w:r>
      <w:r w:rsidRPr="006563C1">
        <w:rPr>
          <w:rFonts w:eastAsia="Times New Roman"/>
          <w:b/>
          <w:bCs/>
          <w:color w:val="auto"/>
          <w:lang w:eastAsia="el-GR"/>
        </w:rPr>
        <w:t>.</w:t>
      </w:r>
      <w:r w:rsidR="003905AB" w:rsidRPr="006563C1">
        <w:rPr>
          <w:rFonts w:eastAsia="Times New Roman"/>
          <w:b/>
          <w:bCs/>
          <w:color w:val="auto"/>
          <w:lang w:eastAsia="el-GR"/>
        </w:rPr>
        <w:t xml:space="preserve"> </w:t>
      </w:r>
      <w:r w:rsidRPr="006563C1">
        <w:rPr>
          <w:lang w:val="en-GB" w:eastAsia="el-GR"/>
        </w:rPr>
        <w:t xml:space="preserve">Docking tests in between each of the TRBP2, </w:t>
      </w:r>
      <w:r w:rsidRPr="006563C1">
        <w:rPr>
          <w:i/>
          <w:iCs/>
          <w:lang w:val="en-GB" w:eastAsia="el-GR"/>
        </w:rPr>
        <w:t>in silico</w:t>
      </w:r>
      <w:r w:rsidRPr="006563C1">
        <w:rPr>
          <w:lang w:val="en-GB" w:eastAsia="el-GR"/>
        </w:rPr>
        <w:t xml:space="preserve"> predicted, main domains DRBM1, DRBM2 and DRBM3, with the Ubc9 protein. In the left-side panels, interface statistics of the interactions are indicated (chain A: Ubc9; chain B: TRBP2), while in the right-side panels, 3D structural models for the examined interactions are shown. Ubc9* - DRBM1*: Constrained docking with the [“LKAE”] (colored in blue) Ubc9-recognizing motif that is being localized at the 51-54 aa area of TRBP2 protein. Note the structural compatibility and complementarity in between the interacting components.</w:t>
      </w:r>
    </w:p>
    <w:p w14:paraId="397A56F4" w14:textId="77777777" w:rsidR="00A76D7C" w:rsidRPr="006563C1" w:rsidRDefault="00A76D7C" w:rsidP="00A76D7C">
      <w:pPr>
        <w:pStyle w:val="MDPI21heading1"/>
        <w:spacing w:before="0"/>
        <w:ind w:left="0"/>
        <w:rPr>
          <w:lang w:val="en-GB"/>
        </w:rPr>
      </w:pPr>
    </w:p>
    <w:p w14:paraId="62BE0C49" w14:textId="7D69A452" w:rsidR="00A76D7C" w:rsidRPr="006563C1" w:rsidRDefault="00A76D7C" w:rsidP="00A76D7C">
      <w:pPr>
        <w:pStyle w:val="MDPI21heading1"/>
        <w:spacing w:before="0"/>
        <w:ind w:left="0"/>
      </w:pPr>
      <w:r w:rsidRPr="006563C1">
        <w:rPr>
          <w:noProof/>
          <w:snapToGrid/>
        </w:rPr>
        <w:drawing>
          <wp:inline distT="0" distB="0" distL="0" distR="0" wp14:anchorId="58D1D693" wp14:editId="0C044808">
            <wp:extent cx="6645910" cy="2362200"/>
            <wp:effectExtent l="0" t="0" r="2540" b="0"/>
            <wp:docPr id="1569100458" name="Picture 23"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100458" name="Picture 23" descr="A screenshot of a computer screen&#10;&#10;Description automatically generated"/>
                    <pic:cNvPicPr/>
                  </pic:nvPicPr>
                  <pic:blipFill rotWithShape="1">
                    <a:blip r:embed="rId20"/>
                    <a:srcRect t="17582" b="19228"/>
                    <a:stretch/>
                  </pic:blipFill>
                  <pic:spPr bwMode="auto">
                    <a:xfrm>
                      <a:off x="0" y="0"/>
                      <a:ext cx="6645910" cy="2362200"/>
                    </a:xfrm>
                    <a:prstGeom prst="rect">
                      <a:avLst/>
                    </a:prstGeom>
                    <a:ln>
                      <a:noFill/>
                    </a:ln>
                    <a:extLst>
                      <a:ext uri="{53640926-AAD7-44D8-BBD7-CCE9431645EC}">
                        <a14:shadowObscured xmlns:a14="http://schemas.microsoft.com/office/drawing/2010/main"/>
                      </a:ext>
                    </a:extLst>
                  </pic:spPr>
                </pic:pic>
              </a:graphicData>
            </a:graphic>
          </wp:inline>
        </w:drawing>
      </w:r>
    </w:p>
    <w:p w14:paraId="3CCE23B0" w14:textId="6AD2C792" w:rsidR="006E1608" w:rsidRPr="006563C1" w:rsidRDefault="006E1608" w:rsidP="003905AB">
      <w:pPr>
        <w:pStyle w:val="MDPI511onefigurecaption"/>
        <w:jc w:val="both"/>
        <w:rPr>
          <w:lang w:val="en-GB" w:eastAsia="el-GR"/>
        </w:rPr>
      </w:pPr>
      <w:r w:rsidRPr="006563C1">
        <w:rPr>
          <w:rFonts w:eastAsia="Times New Roman"/>
          <w:b/>
          <w:bCs/>
          <w:color w:val="auto"/>
          <w:lang w:eastAsia="el-GR"/>
        </w:rPr>
        <w:t>Supplementary Figure S10</w:t>
      </w:r>
      <w:r w:rsidR="00130AA9">
        <w:rPr>
          <w:rFonts w:eastAsia="Times New Roman"/>
          <w:b/>
          <w:bCs/>
          <w:color w:val="auto"/>
          <w:lang w:eastAsia="el-GR"/>
        </w:rPr>
        <w:t xml:space="preserve">. </w:t>
      </w:r>
      <w:r w:rsidR="00130AA9" w:rsidRPr="00130AA9">
        <w:rPr>
          <w:rFonts w:eastAsia="Times New Roman"/>
          <w:b/>
          <w:bCs/>
          <w:i/>
          <w:iCs/>
          <w:color w:val="auto"/>
          <w:lang w:eastAsia="el-GR"/>
        </w:rPr>
        <w:t>In silico</w:t>
      </w:r>
      <w:r w:rsidR="00130AA9" w:rsidRPr="00130AA9">
        <w:rPr>
          <w:rFonts w:eastAsia="Times New Roman"/>
          <w:b/>
          <w:bCs/>
          <w:color w:val="auto"/>
          <w:lang w:eastAsia="el-GR"/>
        </w:rPr>
        <w:t xml:space="preserve"> identification of the critical amino acid (aa) residues that mediate the TRBP2 and Ubc9 bi-molecular interaction</w:t>
      </w:r>
      <w:r w:rsidRPr="006563C1">
        <w:rPr>
          <w:rFonts w:eastAsia="Times New Roman"/>
          <w:b/>
          <w:bCs/>
          <w:color w:val="auto"/>
          <w:lang w:eastAsia="el-GR"/>
        </w:rPr>
        <w:t xml:space="preserve">. </w:t>
      </w:r>
      <w:r w:rsidRPr="006563C1">
        <w:rPr>
          <w:i/>
          <w:iCs/>
          <w:lang w:val="en-GB" w:eastAsia="el-GR"/>
        </w:rPr>
        <w:t>In silico</w:t>
      </w:r>
      <w:r w:rsidRPr="006563C1">
        <w:rPr>
          <w:lang w:val="en-GB" w:eastAsia="el-GR"/>
        </w:rPr>
        <w:t xml:space="preserve"> protein-protein interactivity map, describing the potentially interacting aa residues in between the TRBP2 (DRBM1, DRBM2 and DRBM3) and Ubc9 proteins. DRBM1*: Constrained docking with the [“LKAE”] Ubc9-recognizing motif that resides at the 51-54 aa area of TRBP2 protein.</w:t>
      </w:r>
      <w:r w:rsidRPr="006563C1">
        <w:rPr>
          <w:b/>
          <w:bCs/>
          <w:lang w:val="en-GB" w:eastAsia="el-GR"/>
        </w:rPr>
        <w:t xml:space="preserve"> </w:t>
      </w:r>
      <w:r w:rsidRPr="006563C1">
        <w:rPr>
          <w:lang w:val="en-GB" w:eastAsia="el-GR"/>
        </w:rPr>
        <w:t>Note the number of interacting aa residues involved.</w:t>
      </w:r>
    </w:p>
    <w:p w14:paraId="2FB5548B" w14:textId="77777777" w:rsidR="00A76D7C" w:rsidRPr="006563C1" w:rsidRDefault="00A76D7C" w:rsidP="00A76D7C">
      <w:pPr>
        <w:pStyle w:val="MDPI21heading1"/>
        <w:spacing w:before="0"/>
        <w:ind w:left="0"/>
        <w:rPr>
          <w:lang w:val="en-GB"/>
        </w:rPr>
      </w:pPr>
    </w:p>
    <w:p w14:paraId="7D637F96" w14:textId="67EDFF11" w:rsidR="00A76D7C" w:rsidRPr="006563C1" w:rsidRDefault="00A76D7C" w:rsidP="00A76D7C">
      <w:pPr>
        <w:pStyle w:val="MDPI21heading1"/>
        <w:spacing w:before="0"/>
        <w:ind w:left="0"/>
      </w:pPr>
      <w:r w:rsidRPr="006563C1">
        <w:rPr>
          <w:noProof/>
          <w:snapToGrid/>
        </w:rPr>
        <w:lastRenderedPageBreak/>
        <w:drawing>
          <wp:inline distT="0" distB="0" distL="0" distR="0" wp14:anchorId="305F19CD" wp14:editId="3CA1AD83">
            <wp:extent cx="6645910" cy="3738245"/>
            <wp:effectExtent l="0" t="0" r="2540" b="0"/>
            <wp:docPr id="2075615255" name="Picture 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615255" name="Picture 24" descr="A screenshot of a computer&#10;&#10;Description automatically generated"/>
                    <pic:cNvPicPr/>
                  </pic:nvPicPr>
                  <pic:blipFill>
                    <a:blip r:embed="rId21"/>
                    <a:stretch>
                      <a:fillRect/>
                    </a:stretch>
                  </pic:blipFill>
                  <pic:spPr>
                    <a:xfrm>
                      <a:off x="0" y="0"/>
                      <a:ext cx="6645910" cy="3738245"/>
                    </a:xfrm>
                    <a:prstGeom prst="rect">
                      <a:avLst/>
                    </a:prstGeom>
                  </pic:spPr>
                </pic:pic>
              </a:graphicData>
            </a:graphic>
          </wp:inline>
        </w:drawing>
      </w:r>
    </w:p>
    <w:p w14:paraId="701B0BF6" w14:textId="2CBBBD41" w:rsidR="00644B2A" w:rsidRPr="006563C1" w:rsidRDefault="00644B2A" w:rsidP="003905AB">
      <w:pPr>
        <w:pStyle w:val="MDPI511onefigurecaption"/>
        <w:jc w:val="both"/>
        <w:rPr>
          <w:lang w:val="en-GB" w:eastAsia="el-GR"/>
        </w:rPr>
      </w:pPr>
      <w:r w:rsidRPr="006563C1">
        <w:rPr>
          <w:rFonts w:eastAsia="Times New Roman"/>
          <w:b/>
          <w:bCs/>
          <w:color w:val="auto"/>
          <w:lang w:eastAsia="el-GR"/>
        </w:rPr>
        <w:t>Supplementary Figure S11</w:t>
      </w:r>
      <w:r w:rsidR="00130AA9">
        <w:rPr>
          <w:rFonts w:eastAsia="Times New Roman"/>
          <w:b/>
          <w:bCs/>
          <w:color w:val="auto"/>
          <w:lang w:eastAsia="el-GR"/>
        </w:rPr>
        <w:t xml:space="preserve">. </w:t>
      </w:r>
      <w:r w:rsidR="00130AA9" w:rsidRPr="00130AA9">
        <w:rPr>
          <w:rFonts w:eastAsia="Times New Roman"/>
          <w:b/>
          <w:bCs/>
          <w:color w:val="auto"/>
          <w:lang w:eastAsia="el-GR"/>
        </w:rPr>
        <w:t>Bioinformatic quantification of molecular-complex stabilities, via measurements of Dissociation Constants, in between TRBP2 and major components of the cell-cycle machinery</w:t>
      </w:r>
      <w:r w:rsidRPr="006563C1">
        <w:rPr>
          <w:rFonts w:eastAsia="Times New Roman"/>
          <w:b/>
          <w:bCs/>
          <w:color w:val="auto"/>
          <w:lang w:eastAsia="el-GR"/>
        </w:rPr>
        <w:t xml:space="preserve">. </w:t>
      </w:r>
      <w:r w:rsidRPr="006563C1">
        <w:rPr>
          <w:lang w:val="en-GB" w:eastAsia="el-GR"/>
        </w:rPr>
        <w:t>Docking tests in between each one of the three different TRBP2 domains (DRBM1, DRBM2 and DRBM3), with other proteins being critically implicated in cell-cycle control (AF: AlphaFold-mediated structural modelling), strongly supporting the validity of identified interactions. Ubc9*: Constrained docking with the [“LKAE”] Ubc9-recognizing motif that is being accommodated at the 51-54 aa area of TRBP2 protein. Note the remarkably low Dissociation-Constant (DC) values for Cyclins and CDKs, as putative TRBP2-protein partners and interactors.</w:t>
      </w:r>
    </w:p>
    <w:p w14:paraId="7F2203D6" w14:textId="77777777" w:rsidR="00644B2A" w:rsidRPr="006563C1" w:rsidRDefault="00644B2A" w:rsidP="00644B2A">
      <w:pPr>
        <w:spacing w:after="240" w:line="276" w:lineRule="auto"/>
        <w:rPr>
          <w:rFonts w:ascii="Times New Roman" w:eastAsiaTheme="minorEastAsia" w:hAnsi="Times New Roman"/>
          <w:noProof w:val="0"/>
          <w:color w:val="000000" w:themeColor="text1"/>
          <w:kern w:val="24"/>
          <w:sz w:val="24"/>
          <w:szCs w:val="24"/>
          <w:lang w:val="en-GB" w:eastAsia="el-GR"/>
        </w:rPr>
      </w:pPr>
    </w:p>
    <w:p w14:paraId="25BC3AAC" w14:textId="77777777" w:rsidR="000D087D" w:rsidRPr="006563C1" w:rsidRDefault="000D087D" w:rsidP="000D087D">
      <w:pPr>
        <w:pStyle w:val="MDPI21heading1"/>
        <w:rPr>
          <w:lang w:val="en-GB"/>
        </w:rPr>
      </w:pPr>
      <w:r w:rsidRPr="006563C1">
        <w:rPr>
          <w:lang w:val="en-GB"/>
        </w:rPr>
        <w:t>Supplementary Table Captions (S1 – S3)</w:t>
      </w:r>
    </w:p>
    <w:p w14:paraId="58D16B0F" w14:textId="77777777" w:rsidR="000D087D" w:rsidRPr="006563C1" w:rsidRDefault="000D087D" w:rsidP="000D087D">
      <w:pPr>
        <w:pStyle w:val="MDPI21heading1"/>
        <w:rPr>
          <w:lang w:val="en-GB"/>
        </w:rPr>
      </w:pPr>
    </w:p>
    <w:p w14:paraId="76BBA106" w14:textId="27215B4B" w:rsidR="000D087D" w:rsidRPr="006563C1" w:rsidRDefault="000D087D" w:rsidP="000D087D">
      <w:pPr>
        <w:pStyle w:val="MDPI411onetablecaption"/>
        <w:jc w:val="both"/>
        <w:rPr>
          <w:lang w:val="en-GB" w:eastAsia="en-US"/>
        </w:rPr>
      </w:pPr>
      <w:r w:rsidRPr="006563C1">
        <w:rPr>
          <w:b/>
          <w:bCs/>
          <w:lang w:eastAsia="en-US"/>
        </w:rPr>
        <w:t xml:space="preserve">Supplementary Table S1. </w:t>
      </w:r>
      <w:r w:rsidRPr="006563C1">
        <w:rPr>
          <w:lang w:eastAsia="en-US"/>
        </w:rPr>
        <w:t>TRBP-protein interactors,</w:t>
      </w:r>
      <w:r w:rsidRPr="006563C1">
        <w:rPr>
          <w:lang w:val="en-GB" w:eastAsia="en-US"/>
        </w:rPr>
        <w:t xml:space="preserve"> being derived from the BioGRID database</w:t>
      </w:r>
    </w:p>
    <w:p w14:paraId="171D65A2" w14:textId="77777777" w:rsidR="000D087D" w:rsidRPr="006563C1" w:rsidRDefault="000D087D" w:rsidP="000D087D">
      <w:pPr>
        <w:pStyle w:val="MDPI411onetablecaption"/>
        <w:jc w:val="both"/>
        <w:rPr>
          <w:lang w:val="en-GB" w:eastAsia="en-US"/>
        </w:rPr>
      </w:pPr>
    </w:p>
    <w:p w14:paraId="2AA83769" w14:textId="6371B461" w:rsidR="000D087D" w:rsidRPr="006563C1" w:rsidRDefault="000D087D" w:rsidP="000D087D">
      <w:pPr>
        <w:pStyle w:val="MDPI411onetablecaption"/>
        <w:jc w:val="both"/>
        <w:rPr>
          <w:lang w:val="en-GB" w:eastAsia="en-US"/>
        </w:rPr>
      </w:pPr>
      <w:r w:rsidRPr="006563C1">
        <w:rPr>
          <w:b/>
          <w:bCs/>
          <w:lang w:eastAsia="en-US"/>
        </w:rPr>
        <w:t xml:space="preserve">Supplementary Table S2. </w:t>
      </w:r>
      <w:r w:rsidRPr="006563C1">
        <w:rPr>
          <w:lang w:eastAsia="en-US"/>
        </w:rPr>
        <w:t>PACT-protein interactors,</w:t>
      </w:r>
      <w:r w:rsidRPr="006563C1">
        <w:rPr>
          <w:lang w:val="en-GB" w:eastAsia="en-US"/>
        </w:rPr>
        <w:t xml:space="preserve"> being derived from the BioGRID database</w:t>
      </w:r>
    </w:p>
    <w:p w14:paraId="12628C7E" w14:textId="77777777" w:rsidR="000D087D" w:rsidRPr="006563C1" w:rsidRDefault="000D087D" w:rsidP="000D087D">
      <w:pPr>
        <w:pStyle w:val="MDPI411onetablecaption"/>
        <w:jc w:val="both"/>
        <w:rPr>
          <w:lang w:val="en-GB" w:eastAsia="en-US"/>
        </w:rPr>
      </w:pPr>
    </w:p>
    <w:p w14:paraId="40235CB5" w14:textId="2CD98E46" w:rsidR="00644B2A" w:rsidRPr="00644B2A" w:rsidRDefault="000D087D" w:rsidP="000D087D">
      <w:pPr>
        <w:pStyle w:val="MDPI411onetablecaption"/>
        <w:jc w:val="both"/>
        <w:rPr>
          <w:rFonts w:eastAsiaTheme="minorEastAsia"/>
          <w:color w:val="000000" w:themeColor="text1"/>
          <w:kern w:val="24"/>
          <w:lang w:val="en-GB" w:eastAsia="el-GR"/>
        </w:rPr>
      </w:pPr>
      <w:r w:rsidRPr="006563C1">
        <w:rPr>
          <w:b/>
          <w:bCs/>
          <w:lang w:eastAsia="en-US"/>
        </w:rPr>
        <w:t xml:space="preserve">Supplementary Table S3. </w:t>
      </w:r>
      <w:r w:rsidRPr="006563C1">
        <w:rPr>
          <w:lang w:eastAsia="en-US"/>
        </w:rPr>
        <w:t>TRBP-specific and unique interactors, as compared to the PACT protein-derived ones (Suppl. Tables S1 and S2 content subtraction)</w:t>
      </w:r>
    </w:p>
    <w:p w14:paraId="5EAFA191" w14:textId="77777777" w:rsidR="00A76D7C" w:rsidRPr="00251BF2" w:rsidRDefault="00A76D7C" w:rsidP="00341EAD">
      <w:pPr>
        <w:pStyle w:val="MDPI21heading1"/>
        <w:spacing w:before="0"/>
      </w:pPr>
    </w:p>
    <w:sectPr w:rsidR="00A76D7C" w:rsidRPr="00251BF2" w:rsidSect="00C343B1">
      <w:headerReference w:type="even" r:id="rId22"/>
      <w:headerReference w:type="default" r:id="rId23"/>
      <w:footerReference w:type="default" r:id="rId24"/>
      <w:headerReference w:type="first" r:id="rId25"/>
      <w:footerReference w:type="first" r:id="rId26"/>
      <w:type w:val="continuous"/>
      <w:pgSz w:w="11906" w:h="16838" w:code="9"/>
      <w:pgMar w:top="1417" w:right="720"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DDB3FB" w14:textId="77777777" w:rsidR="002B30D6" w:rsidRDefault="002B30D6">
      <w:pPr>
        <w:spacing w:line="240" w:lineRule="auto"/>
      </w:pPr>
      <w:r>
        <w:separator/>
      </w:r>
    </w:p>
  </w:endnote>
  <w:endnote w:type="continuationSeparator" w:id="0">
    <w:p w14:paraId="1EDE5988" w14:textId="77777777" w:rsidR="002B30D6" w:rsidRDefault="002B30D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A1"/>
    <w:family w:val="roman"/>
    <w:pitch w:val="variable"/>
    <w:sig w:usb0="E0000287" w:usb1="40000013" w:usb2="00000000" w:usb3="00000000" w:csb0="0000019F" w:csb1="00000000"/>
  </w:font>
  <w:font w:name="Calibri Light">
    <w:panose1 w:val="020F0302020204030204"/>
    <w:charset w:val="A1"/>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A1"/>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A1"/>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3C0C77" w14:textId="77777777" w:rsidR="00AF7CE2" w:rsidRPr="00164C5C" w:rsidRDefault="00AF7CE2" w:rsidP="00AF7CE2">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3BA05E" w14:textId="77777777" w:rsidR="005F530C" w:rsidRDefault="005F530C" w:rsidP="00B16808">
    <w:pPr>
      <w:pStyle w:val="MDPIfooterfirstpage"/>
      <w:pBdr>
        <w:top w:val="single" w:sz="4" w:space="0" w:color="000000"/>
      </w:pBdr>
      <w:adjustRightInd w:val="0"/>
      <w:snapToGrid w:val="0"/>
      <w:spacing w:before="480" w:line="100" w:lineRule="exact"/>
      <w:rPr>
        <w:i/>
      </w:rPr>
    </w:pPr>
  </w:p>
  <w:p w14:paraId="478432C2" w14:textId="77777777" w:rsidR="00AF7CE2" w:rsidRPr="008B308E" w:rsidRDefault="00AF7CE2" w:rsidP="00AC5F82">
    <w:pPr>
      <w:pStyle w:val="MDPIfooterfirstpage"/>
      <w:tabs>
        <w:tab w:val="clear" w:pos="8845"/>
        <w:tab w:val="right" w:pos="10466"/>
      </w:tabs>
      <w:spacing w:line="240" w:lineRule="auto"/>
      <w:jc w:val="both"/>
      <w:rPr>
        <w:lang w:val="fr-CH"/>
      </w:rPr>
    </w:pPr>
    <w:r>
      <w:rPr>
        <w:i/>
      </w:rPr>
      <w:t xml:space="preserve">Cancers </w:t>
    </w:r>
    <w:r w:rsidR="00875CDE">
      <w:rPr>
        <w:b/>
      </w:rPr>
      <w:t>2024</w:t>
    </w:r>
    <w:r w:rsidR="00F71A8C" w:rsidRPr="00F71A8C">
      <w:t>,</w:t>
    </w:r>
    <w:r w:rsidR="00875CDE">
      <w:rPr>
        <w:i/>
      </w:rPr>
      <w:t xml:space="preserve"> 16</w:t>
    </w:r>
    <w:r w:rsidR="00F71A8C" w:rsidRPr="00F71A8C">
      <w:t xml:space="preserve">, </w:t>
    </w:r>
    <w:r w:rsidR="00534C4A">
      <w:t>x</w:t>
    </w:r>
    <w:r w:rsidR="005F530C">
      <w:t>. https://doi.org/10.3390/xxxxx</w:t>
    </w:r>
    <w:r w:rsidR="00AC5F82" w:rsidRPr="008B308E">
      <w:rPr>
        <w:lang w:val="fr-CH"/>
      </w:rPr>
      <w:tab/>
    </w:r>
    <w:r w:rsidRPr="008B308E">
      <w:rPr>
        <w:lang w:val="fr-CH"/>
      </w:rPr>
      <w:t>www.mdpi.com/journal/</w:t>
    </w:r>
    <w:r w:rsidRPr="00511F0B">
      <w:t>cancers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A17AAF" w14:textId="77777777" w:rsidR="002B30D6" w:rsidRDefault="002B30D6">
      <w:pPr>
        <w:spacing w:line="240" w:lineRule="auto"/>
      </w:pPr>
      <w:r>
        <w:separator/>
      </w:r>
    </w:p>
  </w:footnote>
  <w:footnote w:type="continuationSeparator" w:id="0">
    <w:p w14:paraId="2D2CC583" w14:textId="77777777" w:rsidR="002B30D6" w:rsidRDefault="002B30D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2289F6" w14:textId="77777777" w:rsidR="00AF7CE2" w:rsidRDefault="00AF7CE2" w:rsidP="00AF7CE2">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F001AD" w14:textId="77777777" w:rsidR="005F530C" w:rsidRDefault="00AF7CE2" w:rsidP="00AC5F82">
    <w:pPr>
      <w:tabs>
        <w:tab w:val="right" w:pos="10466"/>
      </w:tabs>
      <w:adjustRightInd w:val="0"/>
      <w:snapToGrid w:val="0"/>
      <w:spacing w:line="240" w:lineRule="auto"/>
      <w:rPr>
        <w:sz w:val="16"/>
      </w:rPr>
    </w:pPr>
    <w:r>
      <w:rPr>
        <w:i/>
        <w:sz w:val="16"/>
      </w:rPr>
      <w:t xml:space="preserve">Cancers </w:t>
    </w:r>
    <w:r w:rsidR="00875CDE">
      <w:rPr>
        <w:b/>
        <w:sz w:val="16"/>
      </w:rPr>
      <w:t>2024</w:t>
    </w:r>
    <w:r w:rsidR="00F71A8C" w:rsidRPr="00F71A8C">
      <w:rPr>
        <w:sz w:val="16"/>
      </w:rPr>
      <w:t>,</w:t>
    </w:r>
    <w:r w:rsidR="00875CDE">
      <w:rPr>
        <w:i/>
        <w:sz w:val="16"/>
      </w:rPr>
      <w:t xml:space="preserve"> 16</w:t>
    </w:r>
    <w:r w:rsidR="00534C4A">
      <w:rPr>
        <w:sz w:val="16"/>
      </w:rPr>
      <w:t>, x FOR PEER REVIEW</w:t>
    </w:r>
    <w:r w:rsidR="00AC5F82">
      <w:rPr>
        <w:sz w:val="16"/>
      </w:rPr>
      <w:tab/>
    </w:r>
    <w:r w:rsidR="00534C4A">
      <w:rPr>
        <w:sz w:val="16"/>
      </w:rPr>
      <w:fldChar w:fldCharType="begin"/>
    </w:r>
    <w:r w:rsidR="00534C4A">
      <w:rPr>
        <w:sz w:val="16"/>
      </w:rPr>
      <w:instrText xml:space="preserve"> PAGE   \* MERGEFORMAT </w:instrText>
    </w:r>
    <w:r w:rsidR="00534C4A">
      <w:rPr>
        <w:sz w:val="16"/>
      </w:rPr>
      <w:fldChar w:fldCharType="separate"/>
    </w:r>
    <w:r w:rsidR="00B43CFF">
      <w:rPr>
        <w:sz w:val="16"/>
      </w:rPr>
      <w:t>6</w:t>
    </w:r>
    <w:r w:rsidR="00534C4A">
      <w:rPr>
        <w:sz w:val="16"/>
      </w:rPr>
      <w:fldChar w:fldCharType="end"/>
    </w:r>
    <w:r w:rsidR="00534C4A">
      <w:rPr>
        <w:sz w:val="16"/>
      </w:rPr>
      <w:t xml:space="preserve"> of </w:t>
    </w:r>
    <w:r w:rsidR="00534C4A">
      <w:rPr>
        <w:sz w:val="16"/>
      </w:rPr>
      <w:fldChar w:fldCharType="begin"/>
    </w:r>
    <w:r w:rsidR="00534C4A">
      <w:rPr>
        <w:sz w:val="16"/>
      </w:rPr>
      <w:instrText xml:space="preserve"> NUMPAGES   \* MERGEFORMAT </w:instrText>
    </w:r>
    <w:r w:rsidR="00534C4A">
      <w:rPr>
        <w:sz w:val="16"/>
      </w:rPr>
      <w:fldChar w:fldCharType="separate"/>
    </w:r>
    <w:r w:rsidR="00B43CFF">
      <w:rPr>
        <w:sz w:val="16"/>
      </w:rPr>
      <w:t>6</w:t>
    </w:r>
    <w:r w:rsidR="00534C4A">
      <w:rPr>
        <w:sz w:val="16"/>
      </w:rPr>
      <w:fldChar w:fldCharType="end"/>
    </w:r>
  </w:p>
  <w:p w14:paraId="357D3958" w14:textId="77777777" w:rsidR="00AF7CE2" w:rsidRPr="00836BB8" w:rsidRDefault="00AF7CE2" w:rsidP="00B16808">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487" w:type="dxa"/>
      <w:tblCellMar>
        <w:left w:w="0" w:type="dxa"/>
        <w:right w:w="0" w:type="dxa"/>
      </w:tblCellMar>
      <w:tblLook w:val="04A0" w:firstRow="1" w:lastRow="0" w:firstColumn="1" w:lastColumn="0" w:noHBand="0" w:noVBand="1"/>
    </w:tblPr>
    <w:tblGrid>
      <w:gridCol w:w="3679"/>
      <w:gridCol w:w="4535"/>
      <w:gridCol w:w="2273"/>
    </w:tblGrid>
    <w:tr w:rsidR="005F530C" w:rsidRPr="00AC5F82" w14:paraId="1FEC8191" w14:textId="77777777" w:rsidTr="00932C28">
      <w:trPr>
        <w:trHeight w:val="686"/>
      </w:trPr>
      <w:tc>
        <w:tcPr>
          <w:tcW w:w="3679" w:type="dxa"/>
          <w:shd w:val="clear" w:color="auto" w:fill="auto"/>
          <w:vAlign w:val="center"/>
        </w:tcPr>
        <w:p w14:paraId="6E6D6306" w14:textId="77777777" w:rsidR="005F530C" w:rsidRPr="00BD0BE9" w:rsidRDefault="00541837" w:rsidP="00AC5F82">
          <w:pPr>
            <w:pStyle w:val="Header"/>
            <w:pBdr>
              <w:bottom w:val="none" w:sz="0" w:space="0" w:color="auto"/>
            </w:pBdr>
            <w:jc w:val="left"/>
            <w:rPr>
              <w:rFonts w:eastAsia="DengXian"/>
              <w:b/>
              <w:bCs/>
            </w:rPr>
          </w:pPr>
          <w:r w:rsidRPr="00BD0BE9">
            <w:rPr>
              <w:rFonts w:eastAsia="DengXian"/>
              <w:b/>
              <w:bCs/>
            </w:rPr>
            <w:drawing>
              <wp:inline distT="0" distB="0" distL="0" distR="0" wp14:anchorId="2A888E0F" wp14:editId="53BEB0B6">
                <wp:extent cx="1683385" cy="429260"/>
                <wp:effectExtent l="0" t="0" r="0" b="0"/>
                <wp:docPr id="1" name="Picture 3" descr="C:\Users\home\Desktop\logos\cancer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cancers-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3385" cy="429260"/>
                        </a:xfrm>
                        <a:prstGeom prst="rect">
                          <a:avLst/>
                        </a:prstGeom>
                        <a:noFill/>
                        <a:ln>
                          <a:noFill/>
                        </a:ln>
                      </pic:spPr>
                    </pic:pic>
                  </a:graphicData>
                </a:graphic>
              </wp:inline>
            </w:drawing>
          </w:r>
        </w:p>
      </w:tc>
      <w:tc>
        <w:tcPr>
          <w:tcW w:w="4535" w:type="dxa"/>
          <w:shd w:val="clear" w:color="auto" w:fill="auto"/>
          <w:vAlign w:val="center"/>
        </w:tcPr>
        <w:p w14:paraId="757CC6E7" w14:textId="77777777" w:rsidR="005F530C" w:rsidRPr="00BD0BE9" w:rsidRDefault="005F530C" w:rsidP="00AC5F82">
          <w:pPr>
            <w:pStyle w:val="Header"/>
            <w:pBdr>
              <w:bottom w:val="none" w:sz="0" w:space="0" w:color="auto"/>
            </w:pBdr>
            <w:rPr>
              <w:rFonts w:eastAsia="DengXian"/>
              <w:b/>
              <w:bCs/>
            </w:rPr>
          </w:pPr>
        </w:p>
      </w:tc>
      <w:tc>
        <w:tcPr>
          <w:tcW w:w="2273" w:type="dxa"/>
          <w:shd w:val="clear" w:color="auto" w:fill="auto"/>
          <w:vAlign w:val="center"/>
        </w:tcPr>
        <w:p w14:paraId="4EE77125" w14:textId="77777777" w:rsidR="005F530C" w:rsidRPr="00BD0BE9" w:rsidRDefault="00932C28" w:rsidP="00932C28">
          <w:pPr>
            <w:pStyle w:val="Header"/>
            <w:pBdr>
              <w:bottom w:val="none" w:sz="0" w:space="0" w:color="auto"/>
            </w:pBdr>
            <w:jc w:val="right"/>
            <w:rPr>
              <w:rFonts w:eastAsia="DengXian"/>
              <w:b/>
              <w:bCs/>
            </w:rPr>
          </w:pPr>
          <w:r>
            <w:rPr>
              <w:rFonts w:eastAsia="DengXian"/>
              <w:b/>
              <w:bCs/>
            </w:rPr>
            <w:drawing>
              <wp:inline distT="0" distB="0" distL="0" distR="0" wp14:anchorId="558E1919" wp14:editId="4765ABE6">
                <wp:extent cx="540000" cy="360000"/>
                <wp:effectExtent l="0" t="0" r="0" b="2540"/>
                <wp:docPr id="514620467" name="Picture 1"/>
                <wp:cNvGraphicFramePr/>
                <a:graphic xmlns:a="http://schemas.openxmlformats.org/drawingml/2006/main">
                  <a:graphicData uri="http://schemas.openxmlformats.org/drawingml/2006/picture">
                    <pic:pic xmlns:pic="http://schemas.openxmlformats.org/drawingml/2006/picture">
                      <pic:nvPicPr>
                        <pic:cNvPr id="514620467" name=""/>
                        <pic:cNvPicPr/>
                      </pic:nvPicPr>
                      <pic:blipFill>
                        <a:blip r:embed="rId2"/>
                        <a:stretch>
                          <a:fillRect/>
                        </a:stretch>
                      </pic:blipFill>
                      <pic:spPr>
                        <a:xfrm>
                          <a:off x="0" y="0"/>
                          <a:ext cx="540000" cy="360000"/>
                        </a:xfrm>
                        <a:prstGeom prst="rect">
                          <a:avLst/>
                        </a:prstGeom>
                      </pic:spPr>
                    </pic:pic>
                  </a:graphicData>
                </a:graphic>
              </wp:inline>
            </w:drawing>
          </w:r>
        </w:p>
      </w:tc>
    </w:tr>
  </w:tbl>
  <w:p w14:paraId="4F336B72" w14:textId="77777777" w:rsidR="00AF7CE2" w:rsidRPr="005F530C" w:rsidRDefault="00AF7CE2" w:rsidP="00B16808">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7AA0F88"/>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6F7F4A"/>
    <w:multiLevelType w:val="hybridMultilevel"/>
    <w:tmpl w:val="3E64EB70"/>
    <w:lvl w:ilvl="0" w:tplc="0F2A2F0C">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B468F5"/>
    <w:multiLevelType w:val="hybridMultilevel"/>
    <w:tmpl w:val="59E079DA"/>
    <w:lvl w:ilvl="0" w:tplc="48A68C36">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0C6F5D"/>
    <w:multiLevelType w:val="hybridMultilevel"/>
    <w:tmpl w:val="16F05918"/>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4"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6"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8" w15:restartNumberingAfterBreak="0">
    <w:nsid w:val="39925253"/>
    <w:multiLevelType w:val="hybridMultilevel"/>
    <w:tmpl w:val="4816D25A"/>
    <w:lvl w:ilvl="0" w:tplc="207EE52C">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abstractNum w:abstractNumId="9" w15:restartNumberingAfterBreak="0">
    <w:nsid w:val="4ADA639D"/>
    <w:multiLevelType w:val="hybridMultilevel"/>
    <w:tmpl w:val="6DDA9CE2"/>
    <w:lvl w:ilvl="0" w:tplc="9EC8C5CA">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10"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4075B53"/>
    <w:multiLevelType w:val="hybridMultilevel"/>
    <w:tmpl w:val="A57C3798"/>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2" w15:restartNumberingAfterBreak="0">
    <w:nsid w:val="56CF7C60"/>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97E6CB1"/>
    <w:multiLevelType w:val="multilevel"/>
    <w:tmpl w:val="12FCC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50970364">
    <w:abstractNumId w:val="5"/>
  </w:num>
  <w:num w:numId="2" w16cid:durableId="1868442531">
    <w:abstractNumId w:val="7"/>
  </w:num>
  <w:num w:numId="3" w16cid:durableId="1061634552">
    <w:abstractNumId w:val="4"/>
  </w:num>
  <w:num w:numId="4" w16cid:durableId="147672784">
    <w:abstractNumId w:val="6"/>
  </w:num>
  <w:num w:numId="5" w16cid:durableId="918834599">
    <w:abstractNumId w:val="11"/>
  </w:num>
  <w:num w:numId="6" w16cid:durableId="1182933530">
    <w:abstractNumId w:val="3"/>
  </w:num>
  <w:num w:numId="7" w16cid:durableId="1125078810">
    <w:abstractNumId w:val="11"/>
  </w:num>
  <w:num w:numId="8" w16cid:durableId="556284952">
    <w:abstractNumId w:val="3"/>
  </w:num>
  <w:num w:numId="9" w16cid:durableId="775444278">
    <w:abstractNumId w:val="11"/>
  </w:num>
  <w:num w:numId="10" w16cid:durableId="1767847814">
    <w:abstractNumId w:val="3"/>
  </w:num>
  <w:num w:numId="11" w16cid:durableId="48840189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54808671">
    <w:abstractNumId w:val="0"/>
  </w:num>
  <w:num w:numId="13" w16cid:durableId="940602481">
    <w:abstractNumId w:val="12"/>
  </w:num>
  <w:num w:numId="14" w16cid:durableId="2104957849">
    <w:abstractNumId w:val="14"/>
  </w:num>
  <w:num w:numId="15" w16cid:durableId="530068101">
    <w:abstractNumId w:val="11"/>
  </w:num>
  <w:num w:numId="16" w16cid:durableId="844974865">
    <w:abstractNumId w:val="3"/>
  </w:num>
  <w:num w:numId="17" w16cid:durableId="224264814">
    <w:abstractNumId w:val="2"/>
  </w:num>
  <w:num w:numId="18" w16cid:durableId="1388799282">
    <w:abstractNumId w:val="10"/>
  </w:num>
  <w:num w:numId="19" w16cid:durableId="1582911278">
    <w:abstractNumId w:val="0"/>
  </w:num>
  <w:num w:numId="20" w16cid:durableId="461384055">
    <w:abstractNumId w:val="11"/>
  </w:num>
  <w:num w:numId="21" w16cid:durableId="225146231">
    <w:abstractNumId w:val="3"/>
  </w:num>
  <w:num w:numId="22" w16cid:durableId="1548833240">
    <w:abstractNumId w:val="2"/>
  </w:num>
  <w:num w:numId="23" w16cid:durableId="174350397">
    <w:abstractNumId w:val="9"/>
  </w:num>
  <w:num w:numId="24" w16cid:durableId="346835046">
    <w:abstractNumId w:val="8"/>
  </w:num>
  <w:num w:numId="25" w16cid:durableId="449665085">
    <w:abstractNumId w:val="1"/>
  </w:num>
  <w:num w:numId="26" w16cid:durableId="5965997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MDPI&lt;/Style&gt;&lt;LeftDelim&gt;{&lt;/LeftDelim&gt;&lt;RightDelim&gt;}&lt;/RightDelim&gt;&lt;FontName&gt;Palatino Linotype&lt;/FontName&gt;&lt;FontSize&gt;9&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t00te09nfaa2bepewyvzprm9favzpf2sxwx&quot;&gt;My EndNote Library&lt;record-ids&gt;&lt;item&gt;9313&lt;/item&gt;&lt;item&gt;9318&lt;/item&gt;&lt;/record-ids&gt;&lt;/item&gt;&lt;/Libraries&gt;"/>
  </w:docVars>
  <w:rsids>
    <w:rsidRoot w:val="008D39AF"/>
    <w:rsid w:val="000004D7"/>
    <w:rsid w:val="00014FE6"/>
    <w:rsid w:val="00015D6F"/>
    <w:rsid w:val="0003409B"/>
    <w:rsid w:val="000618E3"/>
    <w:rsid w:val="000700D0"/>
    <w:rsid w:val="00076F7E"/>
    <w:rsid w:val="00092478"/>
    <w:rsid w:val="00095F95"/>
    <w:rsid w:val="000A6F47"/>
    <w:rsid w:val="000C5C2C"/>
    <w:rsid w:val="000D087D"/>
    <w:rsid w:val="000D2713"/>
    <w:rsid w:val="000D4AE8"/>
    <w:rsid w:val="000D6839"/>
    <w:rsid w:val="000E1399"/>
    <w:rsid w:val="000F0E63"/>
    <w:rsid w:val="000F79E2"/>
    <w:rsid w:val="00103E20"/>
    <w:rsid w:val="001059C9"/>
    <w:rsid w:val="00110CC2"/>
    <w:rsid w:val="0011101E"/>
    <w:rsid w:val="00125CE1"/>
    <w:rsid w:val="00126C03"/>
    <w:rsid w:val="00130AA9"/>
    <w:rsid w:val="00135C67"/>
    <w:rsid w:val="00136443"/>
    <w:rsid w:val="001432AB"/>
    <w:rsid w:val="00145BCC"/>
    <w:rsid w:val="001475F2"/>
    <w:rsid w:val="00174EC3"/>
    <w:rsid w:val="00182BC6"/>
    <w:rsid w:val="001858E1"/>
    <w:rsid w:val="00186691"/>
    <w:rsid w:val="001A3DE7"/>
    <w:rsid w:val="001B645A"/>
    <w:rsid w:val="001D0EB3"/>
    <w:rsid w:val="001E2AEB"/>
    <w:rsid w:val="001F7B9E"/>
    <w:rsid w:val="002026A3"/>
    <w:rsid w:val="0022021E"/>
    <w:rsid w:val="00232A00"/>
    <w:rsid w:val="00237290"/>
    <w:rsid w:val="002431C5"/>
    <w:rsid w:val="0025090B"/>
    <w:rsid w:val="00251BF2"/>
    <w:rsid w:val="00271D2F"/>
    <w:rsid w:val="00272F25"/>
    <w:rsid w:val="0028012B"/>
    <w:rsid w:val="00284883"/>
    <w:rsid w:val="0028501A"/>
    <w:rsid w:val="00293431"/>
    <w:rsid w:val="002A0D6E"/>
    <w:rsid w:val="002B30D6"/>
    <w:rsid w:val="002B5823"/>
    <w:rsid w:val="002C42C2"/>
    <w:rsid w:val="002D78E7"/>
    <w:rsid w:val="002F126B"/>
    <w:rsid w:val="00316E1B"/>
    <w:rsid w:val="00326141"/>
    <w:rsid w:val="003271CA"/>
    <w:rsid w:val="00341EAD"/>
    <w:rsid w:val="003734CA"/>
    <w:rsid w:val="00375BAA"/>
    <w:rsid w:val="00385333"/>
    <w:rsid w:val="003905AB"/>
    <w:rsid w:val="00394E80"/>
    <w:rsid w:val="003A004E"/>
    <w:rsid w:val="003A55A8"/>
    <w:rsid w:val="003B0587"/>
    <w:rsid w:val="003B4E27"/>
    <w:rsid w:val="003E5BF6"/>
    <w:rsid w:val="00401D30"/>
    <w:rsid w:val="00420E55"/>
    <w:rsid w:val="0044756D"/>
    <w:rsid w:val="004648D4"/>
    <w:rsid w:val="004807A8"/>
    <w:rsid w:val="004B1779"/>
    <w:rsid w:val="004C1F28"/>
    <w:rsid w:val="004C6B45"/>
    <w:rsid w:val="004D3593"/>
    <w:rsid w:val="004E0105"/>
    <w:rsid w:val="004F3629"/>
    <w:rsid w:val="00513C95"/>
    <w:rsid w:val="0052396E"/>
    <w:rsid w:val="00523EAF"/>
    <w:rsid w:val="00527015"/>
    <w:rsid w:val="00534C4A"/>
    <w:rsid w:val="00535ADB"/>
    <w:rsid w:val="00541837"/>
    <w:rsid w:val="005425B6"/>
    <w:rsid w:val="00547F78"/>
    <w:rsid w:val="00557A2C"/>
    <w:rsid w:val="00596A63"/>
    <w:rsid w:val="005A0BED"/>
    <w:rsid w:val="005A2FC5"/>
    <w:rsid w:val="005E2B1B"/>
    <w:rsid w:val="005F530C"/>
    <w:rsid w:val="006033A3"/>
    <w:rsid w:val="00611407"/>
    <w:rsid w:val="00627D4F"/>
    <w:rsid w:val="00634872"/>
    <w:rsid w:val="0063570B"/>
    <w:rsid w:val="00641992"/>
    <w:rsid w:val="00644B2A"/>
    <w:rsid w:val="006457F2"/>
    <w:rsid w:val="006563C1"/>
    <w:rsid w:val="00676FEB"/>
    <w:rsid w:val="006837C3"/>
    <w:rsid w:val="00692393"/>
    <w:rsid w:val="0069273C"/>
    <w:rsid w:val="006A25D2"/>
    <w:rsid w:val="006B71A5"/>
    <w:rsid w:val="006D37E0"/>
    <w:rsid w:val="006E1608"/>
    <w:rsid w:val="006F7149"/>
    <w:rsid w:val="00715F48"/>
    <w:rsid w:val="007346D0"/>
    <w:rsid w:val="00735EA3"/>
    <w:rsid w:val="007426E2"/>
    <w:rsid w:val="00780135"/>
    <w:rsid w:val="007A54A4"/>
    <w:rsid w:val="007C17C4"/>
    <w:rsid w:val="007F6471"/>
    <w:rsid w:val="007F75AD"/>
    <w:rsid w:val="007F76FE"/>
    <w:rsid w:val="00814933"/>
    <w:rsid w:val="00817FC9"/>
    <w:rsid w:val="00851EBD"/>
    <w:rsid w:val="00874B5B"/>
    <w:rsid w:val="00875CDE"/>
    <w:rsid w:val="008A58E0"/>
    <w:rsid w:val="008A5BFD"/>
    <w:rsid w:val="008B0E4D"/>
    <w:rsid w:val="008B6C95"/>
    <w:rsid w:val="008D036F"/>
    <w:rsid w:val="008D09DD"/>
    <w:rsid w:val="008D39AF"/>
    <w:rsid w:val="008E04FE"/>
    <w:rsid w:val="008F4843"/>
    <w:rsid w:val="00906C84"/>
    <w:rsid w:val="009169F2"/>
    <w:rsid w:val="00925B94"/>
    <w:rsid w:val="00926B62"/>
    <w:rsid w:val="00932C28"/>
    <w:rsid w:val="009340C6"/>
    <w:rsid w:val="00963346"/>
    <w:rsid w:val="00964FB2"/>
    <w:rsid w:val="00994ED4"/>
    <w:rsid w:val="009A5A53"/>
    <w:rsid w:val="009A7C8B"/>
    <w:rsid w:val="009B0211"/>
    <w:rsid w:val="009B080B"/>
    <w:rsid w:val="009B0F3A"/>
    <w:rsid w:val="009B3704"/>
    <w:rsid w:val="009D4726"/>
    <w:rsid w:val="009D74AE"/>
    <w:rsid w:val="009E46E8"/>
    <w:rsid w:val="009E4BF3"/>
    <w:rsid w:val="009E69E6"/>
    <w:rsid w:val="009F56AF"/>
    <w:rsid w:val="009F70E6"/>
    <w:rsid w:val="00A004BA"/>
    <w:rsid w:val="00A02616"/>
    <w:rsid w:val="00A040D1"/>
    <w:rsid w:val="00A04B8B"/>
    <w:rsid w:val="00A06051"/>
    <w:rsid w:val="00A453A4"/>
    <w:rsid w:val="00A45543"/>
    <w:rsid w:val="00A53B15"/>
    <w:rsid w:val="00A54818"/>
    <w:rsid w:val="00A56CF6"/>
    <w:rsid w:val="00A57B3E"/>
    <w:rsid w:val="00A64519"/>
    <w:rsid w:val="00A70EAB"/>
    <w:rsid w:val="00A72D48"/>
    <w:rsid w:val="00A76D7C"/>
    <w:rsid w:val="00A935B2"/>
    <w:rsid w:val="00A941B5"/>
    <w:rsid w:val="00AB1DF0"/>
    <w:rsid w:val="00AB68AF"/>
    <w:rsid w:val="00AC12D7"/>
    <w:rsid w:val="00AC1C84"/>
    <w:rsid w:val="00AC1D99"/>
    <w:rsid w:val="00AC2C4A"/>
    <w:rsid w:val="00AC5F82"/>
    <w:rsid w:val="00AD4A58"/>
    <w:rsid w:val="00AD5DE2"/>
    <w:rsid w:val="00AE48A6"/>
    <w:rsid w:val="00AF4AAA"/>
    <w:rsid w:val="00AF52EF"/>
    <w:rsid w:val="00AF7CE2"/>
    <w:rsid w:val="00B005DB"/>
    <w:rsid w:val="00B00C21"/>
    <w:rsid w:val="00B16352"/>
    <w:rsid w:val="00B16808"/>
    <w:rsid w:val="00B229E0"/>
    <w:rsid w:val="00B22C35"/>
    <w:rsid w:val="00B26679"/>
    <w:rsid w:val="00B41681"/>
    <w:rsid w:val="00B43CFF"/>
    <w:rsid w:val="00B47961"/>
    <w:rsid w:val="00B62189"/>
    <w:rsid w:val="00B63037"/>
    <w:rsid w:val="00B67845"/>
    <w:rsid w:val="00B74A9D"/>
    <w:rsid w:val="00B874CF"/>
    <w:rsid w:val="00B904C6"/>
    <w:rsid w:val="00B94A81"/>
    <w:rsid w:val="00B9529E"/>
    <w:rsid w:val="00BA34A2"/>
    <w:rsid w:val="00BB5186"/>
    <w:rsid w:val="00BC29D4"/>
    <w:rsid w:val="00BD0BE9"/>
    <w:rsid w:val="00BE633C"/>
    <w:rsid w:val="00BF020E"/>
    <w:rsid w:val="00BF4F93"/>
    <w:rsid w:val="00C10CBF"/>
    <w:rsid w:val="00C16173"/>
    <w:rsid w:val="00C32442"/>
    <w:rsid w:val="00C343B1"/>
    <w:rsid w:val="00C34630"/>
    <w:rsid w:val="00C40546"/>
    <w:rsid w:val="00C44C10"/>
    <w:rsid w:val="00C53612"/>
    <w:rsid w:val="00C6226A"/>
    <w:rsid w:val="00C770AD"/>
    <w:rsid w:val="00C862EE"/>
    <w:rsid w:val="00C90FA1"/>
    <w:rsid w:val="00C9473D"/>
    <w:rsid w:val="00C957EA"/>
    <w:rsid w:val="00C963FB"/>
    <w:rsid w:val="00CA11A5"/>
    <w:rsid w:val="00CA391B"/>
    <w:rsid w:val="00CB5381"/>
    <w:rsid w:val="00CB5C68"/>
    <w:rsid w:val="00CD33A7"/>
    <w:rsid w:val="00CD409D"/>
    <w:rsid w:val="00CD4EB1"/>
    <w:rsid w:val="00CE3D9A"/>
    <w:rsid w:val="00D109C8"/>
    <w:rsid w:val="00D13119"/>
    <w:rsid w:val="00D33BF7"/>
    <w:rsid w:val="00D45117"/>
    <w:rsid w:val="00D47808"/>
    <w:rsid w:val="00D52E07"/>
    <w:rsid w:val="00D6477B"/>
    <w:rsid w:val="00D6737D"/>
    <w:rsid w:val="00D67A84"/>
    <w:rsid w:val="00D81694"/>
    <w:rsid w:val="00DA0C78"/>
    <w:rsid w:val="00DA4414"/>
    <w:rsid w:val="00DA4D27"/>
    <w:rsid w:val="00DE3283"/>
    <w:rsid w:val="00E05BAB"/>
    <w:rsid w:val="00E13705"/>
    <w:rsid w:val="00E2144B"/>
    <w:rsid w:val="00E21B5D"/>
    <w:rsid w:val="00E30EFE"/>
    <w:rsid w:val="00E317F8"/>
    <w:rsid w:val="00E34079"/>
    <w:rsid w:val="00E521BD"/>
    <w:rsid w:val="00E60C72"/>
    <w:rsid w:val="00E73A24"/>
    <w:rsid w:val="00EC2D4D"/>
    <w:rsid w:val="00F06986"/>
    <w:rsid w:val="00F14A41"/>
    <w:rsid w:val="00F17E93"/>
    <w:rsid w:val="00F22713"/>
    <w:rsid w:val="00F5117F"/>
    <w:rsid w:val="00F528E5"/>
    <w:rsid w:val="00F71A8C"/>
    <w:rsid w:val="00F90736"/>
    <w:rsid w:val="00FB2D45"/>
    <w:rsid w:val="00FC2569"/>
    <w:rsid w:val="00FD39D7"/>
    <w:rsid w:val="00FD4B34"/>
    <w:rsid w:val="00FD583D"/>
    <w:rsid w:val="00FE1ED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3B82C20"/>
  <w15:chartTrackingRefBased/>
  <w15:docId w15:val="{BAE1FC6D-3B64-4E78-B0B6-A6D8CA078C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6839"/>
    <w:pPr>
      <w:spacing w:line="260" w:lineRule="atLeast"/>
      <w:jc w:val="both"/>
    </w:pPr>
    <w:rPr>
      <w:rFonts w:ascii="Palatino Linotype" w:hAnsi="Palatino Linotype"/>
      <w:noProof/>
      <w:color w:val="000000"/>
    </w:rPr>
  </w:style>
  <w:style w:type="paragraph" w:styleId="Heading1">
    <w:name w:val="heading 1"/>
    <w:basedOn w:val="Normal"/>
    <w:next w:val="Normal"/>
    <w:link w:val="Heading1Char"/>
    <w:uiPriority w:val="9"/>
    <w:qFormat/>
    <w:rsid w:val="001858E1"/>
    <w:pPr>
      <w:keepNext/>
      <w:keepLines/>
      <w:spacing w:before="240" w:line="259" w:lineRule="auto"/>
      <w:jc w:val="left"/>
      <w:outlineLvl w:val="0"/>
    </w:pPr>
    <w:rPr>
      <w:rFonts w:asciiTheme="majorHAnsi" w:eastAsiaTheme="majorEastAsia" w:hAnsiTheme="majorHAnsi" w:cstheme="majorBidi"/>
      <w:noProof w:val="0"/>
      <w:color w:val="2F5496" w:themeColor="accent1" w:themeShade="BF"/>
      <w:kern w:val="2"/>
      <w:sz w:val="32"/>
      <w:szCs w:val="32"/>
      <w:lang w:val="el-GR"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0D6839"/>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0D6839"/>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0D6839"/>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0D6839"/>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0D6839"/>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0D6839"/>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0D6839"/>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0D6839"/>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eNormal"/>
    <w:uiPriority w:val="99"/>
    <w:rsid w:val="003A55A8"/>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0D6839"/>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0D6839"/>
    <w:pPr>
      <w:tabs>
        <w:tab w:val="center" w:pos="4153"/>
        <w:tab w:val="right" w:pos="8306"/>
      </w:tabs>
      <w:snapToGrid w:val="0"/>
      <w:spacing w:line="240" w:lineRule="atLeast"/>
    </w:pPr>
    <w:rPr>
      <w:szCs w:val="18"/>
    </w:rPr>
  </w:style>
  <w:style w:type="character" w:customStyle="1" w:styleId="FooterChar">
    <w:name w:val="Footer Char"/>
    <w:link w:val="Footer"/>
    <w:uiPriority w:val="99"/>
    <w:rsid w:val="000D6839"/>
    <w:rPr>
      <w:rFonts w:ascii="Palatino Linotype" w:hAnsi="Palatino Linotype"/>
      <w:noProof/>
      <w:color w:val="000000"/>
      <w:szCs w:val="18"/>
    </w:rPr>
  </w:style>
  <w:style w:type="paragraph" w:styleId="Header">
    <w:name w:val="header"/>
    <w:basedOn w:val="Normal"/>
    <w:link w:val="HeaderChar"/>
    <w:uiPriority w:val="99"/>
    <w:rsid w:val="000D6839"/>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0D6839"/>
    <w:rPr>
      <w:rFonts w:ascii="Palatino Linotype" w:hAnsi="Palatino Linotype"/>
      <w:noProof/>
      <w:color w:val="000000"/>
      <w:szCs w:val="18"/>
    </w:rPr>
  </w:style>
  <w:style w:type="paragraph" w:customStyle="1" w:styleId="MDPIheaderjournallogo">
    <w:name w:val="MDPI_header_journal_logo"/>
    <w:qFormat/>
    <w:rsid w:val="000D6839"/>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0D6839"/>
    <w:pPr>
      <w:ind w:firstLine="0"/>
    </w:pPr>
  </w:style>
  <w:style w:type="paragraph" w:customStyle="1" w:styleId="MDPI31text">
    <w:name w:val="MDPI_3.1_text"/>
    <w:qFormat/>
    <w:rsid w:val="009B0211"/>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0D6839"/>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qFormat/>
    <w:rsid w:val="000D6839"/>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0D6839"/>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0D6839"/>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D6477B"/>
    <w:pPr>
      <w:numPr>
        <w:numId w:val="24"/>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D6477B"/>
    <w:pPr>
      <w:numPr>
        <w:numId w:val="23"/>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0D6839"/>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0D6839"/>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0D6839"/>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6F7149"/>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0D6839"/>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0D6839"/>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0D6839"/>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81theorem">
    <w:name w:val="MDPI_8.1_theorem"/>
    <w:qFormat/>
    <w:rsid w:val="000D6839"/>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0D6839"/>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footerfirstpage">
    <w:name w:val="MDPI_footer_firstpage"/>
    <w:qFormat/>
    <w:rsid w:val="000D6839"/>
    <w:pPr>
      <w:tabs>
        <w:tab w:val="right" w:pos="8845"/>
      </w:tabs>
      <w:spacing w:line="160" w:lineRule="exact"/>
    </w:pPr>
    <w:rPr>
      <w:rFonts w:ascii="Palatino Linotype" w:eastAsia="Times New Roman" w:hAnsi="Palatino Linotype"/>
      <w:color w:val="000000"/>
      <w:sz w:val="16"/>
      <w:lang w:eastAsia="de-DE"/>
    </w:rPr>
  </w:style>
  <w:style w:type="paragraph" w:customStyle="1" w:styleId="MDPI23heading3">
    <w:name w:val="MDPI_2.3_heading3"/>
    <w:qFormat/>
    <w:rsid w:val="000D6839"/>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0D6839"/>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0D6839"/>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284883"/>
    <w:pPr>
      <w:numPr>
        <w:numId w:val="25"/>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rsid w:val="000D6839"/>
    <w:rPr>
      <w:rFonts w:cs="Tahoma"/>
      <w:szCs w:val="18"/>
    </w:rPr>
  </w:style>
  <w:style w:type="character" w:customStyle="1" w:styleId="BalloonTextChar">
    <w:name w:val="Balloon Text Char"/>
    <w:link w:val="BalloonText"/>
    <w:uiPriority w:val="99"/>
    <w:rsid w:val="000D6839"/>
    <w:rPr>
      <w:rFonts w:ascii="Palatino Linotype" w:hAnsi="Palatino Linotype" w:cs="Tahoma"/>
      <w:noProof/>
      <w:color w:val="000000"/>
      <w:szCs w:val="18"/>
    </w:rPr>
  </w:style>
  <w:style w:type="character" w:styleId="LineNumber">
    <w:name w:val="line number"/>
    <w:uiPriority w:val="99"/>
    <w:rsid w:val="00C343B1"/>
    <w:rPr>
      <w:rFonts w:ascii="Palatino Linotype" w:hAnsi="Palatino Linotype"/>
      <w:sz w:val="16"/>
    </w:rPr>
  </w:style>
  <w:style w:type="table" w:customStyle="1" w:styleId="MDPI41threelinetable">
    <w:name w:val="MDPI_4.1_three_line_table"/>
    <w:basedOn w:val="TableNormal"/>
    <w:uiPriority w:val="99"/>
    <w:rsid w:val="000D6839"/>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0D6839"/>
    <w:rPr>
      <w:color w:val="0000FF"/>
      <w:u w:val="single"/>
    </w:rPr>
  </w:style>
  <w:style w:type="character" w:styleId="UnresolvedMention">
    <w:name w:val="Unresolved Mention"/>
    <w:uiPriority w:val="99"/>
    <w:semiHidden/>
    <w:unhideWhenUsed/>
    <w:rsid w:val="00963346"/>
    <w:rPr>
      <w:color w:val="605E5C"/>
      <w:shd w:val="clear" w:color="auto" w:fill="E1DFDD"/>
    </w:rPr>
  </w:style>
  <w:style w:type="table" w:styleId="PlainTable4">
    <w:name w:val="Plain Table 4"/>
    <w:basedOn w:val="TableNormal"/>
    <w:uiPriority w:val="44"/>
    <w:rsid w:val="00F71A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rsid w:val="000D6839"/>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0D6839"/>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0D6839"/>
    <w:pPr>
      <w:adjustRightInd w:val="0"/>
      <w:snapToGrid w:val="0"/>
      <w:spacing w:before="240" w:line="228" w:lineRule="auto"/>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AD4A58"/>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0D6839"/>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0D6839"/>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0D6839"/>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E05BAB"/>
    <w:pPr>
      <w:adjustRightInd w:val="0"/>
      <w:snapToGrid w:val="0"/>
      <w:spacing w:before="60" w:line="240" w:lineRule="atLeast"/>
      <w:ind w:right="113"/>
      <w:jc w:val="both"/>
    </w:pPr>
    <w:rPr>
      <w:rFonts w:ascii="Palatino Linotype" w:eastAsia="Times New Roman" w:hAnsi="Palatino Linotype"/>
      <w:noProof/>
      <w:snapToGrid w:val="0"/>
      <w:color w:val="000000"/>
      <w:sz w:val="14"/>
      <w:lang w:val="en-GB" w:eastAsia="en-GB"/>
    </w:rPr>
  </w:style>
  <w:style w:type="paragraph" w:customStyle="1" w:styleId="MDPI73CopyrightImage">
    <w:name w:val="MDPI_7.3_CopyrightImage"/>
    <w:rsid w:val="000D6839"/>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0D6839"/>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0D6839"/>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qFormat/>
    <w:rsid w:val="000D6839"/>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0D6839"/>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0D6839"/>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rsid w:val="000D6839"/>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0D6839"/>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0D6839"/>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0D6839"/>
  </w:style>
  <w:style w:type="paragraph" w:styleId="Bibliography">
    <w:name w:val="Bibliography"/>
    <w:basedOn w:val="Normal"/>
    <w:next w:val="Normal"/>
    <w:uiPriority w:val="37"/>
    <w:semiHidden/>
    <w:unhideWhenUsed/>
    <w:rsid w:val="000D6839"/>
  </w:style>
  <w:style w:type="paragraph" w:styleId="BodyText">
    <w:name w:val="Body Text"/>
    <w:link w:val="BodyTextChar"/>
    <w:rsid w:val="000D6839"/>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0D6839"/>
    <w:rPr>
      <w:rFonts w:ascii="Palatino Linotype" w:hAnsi="Palatino Linotype"/>
      <w:color w:val="000000"/>
      <w:sz w:val="24"/>
      <w:lang w:eastAsia="de-DE"/>
    </w:rPr>
  </w:style>
  <w:style w:type="character" w:styleId="CommentReference">
    <w:name w:val="annotation reference"/>
    <w:rsid w:val="000D6839"/>
    <w:rPr>
      <w:sz w:val="21"/>
      <w:szCs w:val="21"/>
    </w:rPr>
  </w:style>
  <w:style w:type="paragraph" w:styleId="CommentText">
    <w:name w:val="annotation text"/>
    <w:basedOn w:val="Normal"/>
    <w:link w:val="CommentTextChar"/>
    <w:rsid w:val="000D6839"/>
  </w:style>
  <w:style w:type="character" w:customStyle="1" w:styleId="CommentTextChar">
    <w:name w:val="Comment Text Char"/>
    <w:link w:val="CommentText"/>
    <w:rsid w:val="000D6839"/>
    <w:rPr>
      <w:rFonts w:ascii="Palatino Linotype" w:hAnsi="Palatino Linotype"/>
      <w:noProof/>
      <w:color w:val="000000"/>
    </w:rPr>
  </w:style>
  <w:style w:type="paragraph" w:styleId="CommentSubject">
    <w:name w:val="annotation subject"/>
    <w:basedOn w:val="CommentText"/>
    <w:next w:val="CommentText"/>
    <w:link w:val="CommentSubjectChar"/>
    <w:rsid w:val="000D6839"/>
    <w:rPr>
      <w:b/>
      <w:bCs/>
    </w:rPr>
  </w:style>
  <w:style w:type="character" w:customStyle="1" w:styleId="CommentSubjectChar">
    <w:name w:val="Comment Subject Char"/>
    <w:link w:val="CommentSubject"/>
    <w:rsid w:val="000D6839"/>
    <w:rPr>
      <w:rFonts w:ascii="Palatino Linotype" w:hAnsi="Palatino Linotype"/>
      <w:b/>
      <w:bCs/>
      <w:noProof/>
      <w:color w:val="000000"/>
    </w:rPr>
  </w:style>
  <w:style w:type="character" w:styleId="EndnoteReference">
    <w:name w:val="endnote reference"/>
    <w:rsid w:val="000D6839"/>
    <w:rPr>
      <w:vertAlign w:val="superscript"/>
    </w:rPr>
  </w:style>
  <w:style w:type="paragraph" w:styleId="EndnoteText">
    <w:name w:val="endnote text"/>
    <w:basedOn w:val="Normal"/>
    <w:link w:val="EndnoteTextChar"/>
    <w:semiHidden/>
    <w:unhideWhenUsed/>
    <w:rsid w:val="000D6839"/>
    <w:pPr>
      <w:spacing w:line="240" w:lineRule="auto"/>
    </w:pPr>
  </w:style>
  <w:style w:type="character" w:customStyle="1" w:styleId="EndnoteTextChar">
    <w:name w:val="Endnote Text Char"/>
    <w:link w:val="EndnoteText"/>
    <w:semiHidden/>
    <w:rsid w:val="000D6839"/>
    <w:rPr>
      <w:rFonts w:ascii="Palatino Linotype" w:hAnsi="Palatino Linotype"/>
      <w:noProof/>
      <w:color w:val="000000"/>
    </w:rPr>
  </w:style>
  <w:style w:type="character" w:styleId="FollowedHyperlink">
    <w:name w:val="FollowedHyperlink"/>
    <w:uiPriority w:val="99"/>
    <w:rsid w:val="000D6839"/>
    <w:rPr>
      <w:color w:val="954F72"/>
      <w:u w:val="single"/>
    </w:rPr>
  </w:style>
  <w:style w:type="paragraph" w:styleId="FootnoteText">
    <w:name w:val="footnote text"/>
    <w:basedOn w:val="Normal"/>
    <w:link w:val="FootnoteTextChar"/>
    <w:semiHidden/>
    <w:unhideWhenUsed/>
    <w:rsid w:val="000D6839"/>
    <w:pPr>
      <w:spacing w:line="240" w:lineRule="auto"/>
    </w:pPr>
  </w:style>
  <w:style w:type="character" w:customStyle="1" w:styleId="FootnoteTextChar">
    <w:name w:val="Footnote Text Char"/>
    <w:link w:val="FootnoteText"/>
    <w:semiHidden/>
    <w:rsid w:val="000D6839"/>
    <w:rPr>
      <w:rFonts w:ascii="Palatino Linotype" w:hAnsi="Palatino Linotype"/>
      <w:noProof/>
      <w:color w:val="000000"/>
    </w:rPr>
  </w:style>
  <w:style w:type="paragraph" w:styleId="NormalWeb">
    <w:name w:val="Normal (Web)"/>
    <w:basedOn w:val="Normal"/>
    <w:uiPriority w:val="99"/>
    <w:rsid w:val="000D6839"/>
    <w:rPr>
      <w:szCs w:val="24"/>
    </w:rPr>
  </w:style>
  <w:style w:type="paragraph" w:customStyle="1" w:styleId="MsoFootnoteText0">
    <w:name w:val="MsoFootnoteText"/>
    <w:basedOn w:val="NormalWeb"/>
    <w:qFormat/>
    <w:rsid w:val="000D6839"/>
    <w:rPr>
      <w:rFonts w:ascii="Times New Roman" w:hAnsi="Times New Roman"/>
    </w:rPr>
  </w:style>
  <w:style w:type="character" w:styleId="PageNumber">
    <w:name w:val="page number"/>
    <w:rsid w:val="000D6839"/>
  </w:style>
  <w:style w:type="character" w:styleId="PlaceholderText">
    <w:name w:val="Placeholder Text"/>
    <w:uiPriority w:val="99"/>
    <w:semiHidden/>
    <w:rsid w:val="000D6839"/>
    <w:rPr>
      <w:color w:val="808080"/>
    </w:rPr>
  </w:style>
  <w:style w:type="paragraph" w:customStyle="1" w:styleId="MDPI71FootNotes">
    <w:name w:val="MDPI_7.1_FootNotes"/>
    <w:qFormat/>
    <w:rsid w:val="003B4E27"/>
    <w:pPr>
      <w:numPr>
        <w:numId w:val="22"/>
      </w:numPr>
      <w:adjustRightInd w:val="0"/>
      <w:snapToGrid w:val="0"/>
      <w:spacing w:line="228" w:lineRule="auto"/>
    </w:pPr>
    <w:rPr>
      <w:rFonts w:ascii="Palatino Linotype" w:eastAsiaTheme="minorEastAsia" w:hAnsi="Palatino Linotype"/>
      <w:noProof/>
      <w:color w:val="000000"/>
      <w:sz w:val="18"/>
    </w:rPr>
  </w:style>
  <w:style w:type="character" w:customStyle="1" w:styleId="Heading1Char">
    <w:name w:val="Heading 1 Char"/>
    <w:basedOn w:val="DefaultParagraphFont"/>
    <w:link w:val="Heading1"/>
    <w:uiPriority w:val="9"/>
    <w:rsid w:val="001858E1"/>
    <w:rPr>
      <w:rFonts w:asciiTheme="majorHAnsi" w:eastAsiaTheme="majorEastAsia" w:hAnsiTheme="majorHAnsi" w:cstheme="majorBidi"/>
      <w:color w:val="2F5496" w:themeColor="accent1" w:themeShade="BF"/>
      <w:kern w:val="2"/>
      <w:sz w:val="32"/>
      <w:szCs w:val="32"/>
      <w:lang w:val="el-GR" w:eastAsia="en-US"/>
    </w:rPr>
  </w:style>
  <w:style w:type="numbering" w:customStyle="1" w:styleId="NoList1">
    <w:name w:val="No List1"/>
    <w:next w:val="NoList"/>
    <w:uiPriority w:val="99"/>
    <w:semiHidden/>
    <w:unhideWhenUsed/>
    <w:rsid w:val="001858E1"/>
  </w:style>
  <w:style w:type="character" w:customStyle="1" w:styleId="1">
    <w:name w:val="Ανεπίλυτη αναφορά1"/>
    <w:basedOn w:val="DefaultParagraphFont"/>
    <w:uiPriority w:val="99"/>
    <w:semiHidden/>
    <w:unhideWhenUsed/>
    <w:rsid w:val="001858E1"/>
    <w:rPr>
      <w:color w:val="605E5C"/>
      <w:shd w:val="clear" w:color="auto" w:fill="E1DFDD"/>
    </w:rPr>
  </w:style>
  <w:style w:type="paragraph" w:styleId="Revision">
    <w:name w:val="Revision"/>
    <w:hidden/>
    <w:uiPriority w:val="99"/>
    <w:semiHidden/>
    <w:rsid w:val="001858E1"/>
    <w:rPr>
      <w:rFonts w:asciiTheme="minorHAnsi" w:eastAsiaTheme="minorHAnsi" w:hAnsiTheme="minorHAnsi" w:cstheme="minorBidi"/>
      <w:kern w:val="2"/>
      <w:sz w:val="22"/>
      <w:szCs w:val="22"/>
      <w:lang w:val="el-GR" w:eastAsia="en-US"/>
    </w:rPr>
  </w:style>
  <w:style w:type="paragraph" w:customStyle="1" w:styleId="EndNoteBibliographyTitle">
    <w:name w:val="EndNote Bibliography Title"/>
    <w:basedOn w:val="Normal"/>
    <w:link w:val="EndNoteBibliographyTitleChar"/>
    <w:rsid w:val="001858E1"/>
    <w:pPr>
      <w:spacing w:line="259" w:lineRule="auto"/>
      <w:jc w:val="center"/>
    </w:pPr>
    <w:rPr>
      <w:rFonts w:eastAsiaTheme="minorHAnsi" w:cs="Calibri"/>
      <w:color w:val="auto"/>
      <w:kern w:val="2"/>
      <w:sz w:val="18"/>
      <w:szCs w:val="22"/>
      <w:lang w:eastAsia="en-US"/>
    </w:rPr>
  </w:style>
  <w:style w:type="character" w:customStyle="1" w:styleId="EndNoteBibliographyTitleChar">
    <w:name w:val="EndNote Bibliography Title Char"/>
    <w:basedOn w:val="DefaultParagraphFont"/>
    <w:link w:val="EndNoteBibliographyTitle"/>
    <w:rsid w:val="001858E1"/>
    <w:rPr>
      <w:rFonts w:ascii="Palatino Linotype" w:eastAsiaTheme="minorHAnsi" w:hAnsi="Palatino Linotype" w:cs="Calibri"/>
      <w:noProof/>
      <w:kern w:val="2"/>
      <w:sz w:val="18"/>
      <w:szCs w:val="22"/>
      <w:lang w:eastAsia="en-US"/>
    </w:rPr>
  </w:style>
  <w:style w:type="paragraph" w:customStyle="1" w:styleId="EndNoteBibliography">
    <w:name w:val="EndNote Bibliography"/>
    <w:basedOn w:val="Normal"/>
    <w:link w:val="EndNoteBibliographyChar"/>
    <w:rsid w:val="001858E1"/>
    <w:pPr>
      <w:spacing w:after="160" w:line="240" w:lineRule="auto"/>
    </w:pPr>
    <w:rPr>
      <w:rFonts w:eastAsiaTheme="minorHAnsi" w:cs="Calibri"/>
      <w:color w:val="auto"/>
      <w:kern w:val="2"/>
      <w:sz w:val="18"/>
      <w:szCs w:val="22"/>
      <w:lang w:eastAsia="en-US"/>
    </w:rPr>
  </w:style>
  <w:style w:type="character" w:customStyle="1" w:styleId="EndNoteBibliographyChar">
    <w:name w:val="EndNote Bibliography Char"/>
    <w:basedOn w:val="DefaultParagraphFont"/>
    <w:link w:val="EndNoteBibliography"/>
    <w:rsid w:val="001858E1"/>
    <w:rPr>
      <w:rFonts w:ascii="Palatino Linotype" w:eastAsiaTheme="minorHAnsi" w:hAnsi="Palatino Linotype" w:cs="Calibri"/>
      <w:noProof/>
      <w:kern w:val="2"/>
      <w:sz w:val="18"/>
      <w:szCs w:val="22"/>
      <w:lang w:eastAsia="en-US"/>
    </w:rPr>
  </w:style>
  <w:style w:type="numbering" w:customStyle="1" w:styleId="NoList2">
    <w:name w:val="No List2"/>
    <w:next w:val="NoList"/>
    <w:uiPriority w:val="99"/>
    <w:semiHidden/>
    <w:unhideWhenUsed/>
    <w:rsid w:val="001858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01444446">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tif"/><Relationship Id="rId18" Type="http://schemas.openxmlformats.org/officeDocument/2006/relationships/image" Target="media/image9.tif"/><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2.tif"/><Relationship Id="rId7" Type="http://schemas.openxmlformats.org/officeDocument/2006/relationships/endnotes" Target="endnotes.xml"/><Relationship Id="rId12" Type="http://schemas.openxmlformats.org/officeDocument/2006/relationships/image" Target="media/image3.tif"/><Relationship Id="rId17" Type="http://schemas.openxmlformats.org/officeDocument/2006/relationships/image" Target="media/image8.tif"/><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7.tif"/><Relationship Id="rId20" Type="http://schemas.openxmlformats.org/officeDocument/2006/relationships/image" Target="media/image11.t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genome.jp/tools/motif/"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tif"/><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hyperlink" Target="https://www.ensembl.org/Homo_sapiens/Info/Index" TargetMode="External"/><Relationship Id="rId19" Type="http://schemas.openxmlformats.org/officeDocument/2006/relationships/image" Target="media/image10.tif"/><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image" Target="media/image5.tif"/><Relationship Id="rId22" Type="http://schemas.openxmlformats.org/officeDocument/2006/relationships/header" Target="header1.xml"/><Relationship Id="rId27"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hanasis\Desktop\cancer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CBC347-FA5F-42B2-B5E7-080314C2F5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cancers-template.dot</Template>
  <TotalTime>38</TotalTime>
  <Pages>9</Pages>
  <Words>1817</Words>
  <Characters>9816</Characters>
  <Application>Microsoft Office Word</Application>
  <DocSecurity>0</DocSecurity>
  <Lines>81</Lines>
  <Paragraphs>23</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11610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Thanasis Velentzas</dc:creator>
  <cp:keywords/>
  <dc:description/>
  <cp:lastModifiedBy>Thanasis Velentzas</cp:lastModifiedBy>
  <cp:revision>11</cp:revision>
  <dcterms:created xsi:type="dcterms:W3CDTF">2024-10-01T11:43:00Z</dcterms:created>
  <dcterms:modified xsi:type="dcterms:W3CDTF">2024-10-04T08:46:00Z</dcterms:modified>
</cp:coreProperties>
</file>