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1" w:rightFromText="181" w:vertAnchor="page" w:horzAnchor="page" w:tblpX="857" w:tblpY="766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268"/>
        <w:gridCol w:w="2268"/>
        <w:gridCol w:w="2693"/>
        <w:gridCol w:w="2126"/>
        <w:gridCol w:w="3119"/>
        <w:gridCol w:w="1275"/>
      </w:tblGrid>
      <w:tr w:rsidR="00F91DD0" w:rsidTr="00CC1928">
        <w:tc>
          <w:tcPr>
            <w:tcW w:w="15304" w:type="dxa"/>
            <w:gridSpan w:val="7"/>
          </w:tcPr>
          <w:p w:rsidR="00F91DD0" w:rsidRPr="00F91DD0" w:rsidRDefault="00F91DD0" w:rsidP="00F91DD0">
            <w:pPr>
              <w:jc w:val="center"/>
              <w:rPr>
                <w:b/>
                <w:sz w:val="36"/>
                <w:szCs w:val="20"/>
              </w:rPr>
            </w:pPr>
            <w:r w:rsidRPr="00F91DD0">
              <w:rPr>
                <w:rStyle w:val="normaltextrun"/>
                <w:b/>
                <w:bCs/>
                <w:color w:val="000000"/>
                <w:sz w:val="36"/>
                <w:shd w:val="clear" w:color="auto" w:fill="FFFFFF"/>
              </w:rPr>
              <w:t xml:space="preserve">Table 1: Highlights the application of AI and ML techniques in microbiome analysis for predicting atherosclerosis and </w:t>
            </w:r>
            <w:r w:rsidRPr="00F91DD0">
              <w:rPr>
                <w:rStyle w:val="normaltextrun"/>
                <w:b/>
                <w:bCs/>
                <w:color w:val="000000"/>
                <w:sz w:val="36"/>
                <w:shd w:val="clear" w:color="auto" w:fill="FFFFFF"/>
              </w:rPr>
              <w:t>CVD risk</w:t>
            </w:r>
            <w:r w:rsidRPr="00F91DD0">
              <w:rPr>
                <w:rStyle w:val="eop"/>
                <w:color w:val="000000"/>
                <w:sz w:val="36"/>
                <w:shd w:val="clear" w:color="auto" w:fill="FFFFFF"/>
              </w:rPr>
              <w:t> </w:t>
            </w:r>
          </w:p>
        </w:tc>
      </w:tr>
      <w:tr w:rsidR="00964681">
        <w:tc>
          <w:tcPr>
            <w:tcW w:w="1555" w:type="dxa"/>
          </w:tcPr>
          <w:p w:rsidR="00964681" w:rsidRDefault="006572E6" w:rsidP="00657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Disorder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Samples</w:t>
            </w:r>
          </w:p>
        </w:tc>
        <w:tc>
          <w:tcPr>
            <w:tcW w:w="2268" w:type="dxa"/>
          </w:tcPr>
          <w:p w:rsidR="00964681" w:rsidRDefault="00657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AI/ML/ Other analysis Method</w:t>
            </w:r>
          </w:p>
        </w:tc>
        <w:tc>
          <w:tcPr>
            <w:tcW w:w="2693" w:type="dxa"/>
          </w:tcPr>
          <w:p w:rsidR="00964681" w:rsidRDefault="00657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126" w:type="dxa"/>
          </w:tcPr>
          <w:p w:rsidR="00964681" w:rsidRDefault="00657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Limitation</w:t>
            </w:r>
          </w:p>
        </w:tc>
        <w:tc>
          <w:tcPr>
            <w:tcW w:w="3119" w:type="dxa"/>
          </w:tcPr>
          <w:p w:rsidR="00964681" w:rsidRDefault="00657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Important Findings</w:t>
            </w:r>
          </w:p>
        </w:tc>
        <w:tc>
          <w:tcPr>
            <w:tcW w:w="1275" w:type="dxa"/>
          </w:tcPr>
          <w:p w:rsidR="00964681" w:rsidRDefault="00657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</w:t>
            </w:r>
          </w:p>
        </w:tc>
      </w:tr>
      <w:tr w:rsidR="00964681">
        <w:tc>
          <w:tcPr>
            <w:tcW w:w="1555" w:type="dxa"/>
          </w:tcPr>
          <w:p w:rsidR="00964681" w:rsidRDefault="00657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CVD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478 CVD, 473 non-CVD </w:t>
            </w:r>
            <w:r>
              <w:rPr>
                <w:sz w:val="20"/>
                <w:szCs w:val="20"/>
              </w:rPr>
              <w:t>participants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Random Forest, Neural Networks, Elastic Net, Decision Tree, Support Vector Machine (SVM)</w:t>
            </w:r>
          </w:p>
        </w:tc>
        <w:tc>
          <w:tcPr>
            <w:tcW w:w="2693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Supervised ML models were trained on 16S ribosomal RNA sequencing data to classify gut microbiota profiles. Both taxonomic and OTU features were used to differentiate CVD from non-CVD subjects. Feature selection identified the top 25 OTUs that contributed most to CVD classification using </w:t>
            </w:r>
            <w:proofErr w:type="spellStart"/>
            <w:r>
              <w:rPr>
                <w:sz w:val="18"/>
                <w:szCs w:val="18"/>
              </w:rPr>
              <w:t>fecal</w:t>
            </w:r>
            <w:proofErr w:type="spellEnd"/>
            <w:r>
              <w:rPr>
                <w:sz w:val="18"/>
                <w:szCs w:val="18"/>
              </w:rPr>
              <w:t xml:space="preserve"> 16S metagenomics data.</w:t>
            </w:r>
          </w:p>
        </w:tc>
        <w:tc>
          <w:tcPr>
            <w:tcW w:w="2126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Gut microbiome can be influenced by diet and medication, which were not fully accounted for.</w:t>
            </w:r>
          </w:p>
        </w:tc>
        <w:tc>
          <w:tcPr>
            <w:tcW w:w="3119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Random Forest achieved the best results, utilizing the top 25 OTU features to distinguish CVD from non-CVD subjects.</w:t>
            </w: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Key bacterial taxa such as </w:t>
            </w:r>
            <w:proofErr w:type="spellStart"/>
            <w:r>
              <w:rPr>
                <w:i/>
                <w:sz w:val="18"/>
                <w:szCs w:val="18"/>
              </w:rPr>
              <w:t>Bacteroides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Subdoligranulum</w:t>
            </w:r>
            <w:proofErr w:type="spellEnd"/>
            <w:r>
              <w:rPr>
                <w:sz w:val="18"/>
                <w:szCs w:val="18"/>
              </w:rPr>
              <w:t xml:space="preserve">, and </w:t>
            </w:r>
            <w:r>
              <w:rPr>
                <w:i/>
                <w:sz w:val="18"/>
                <w:szCs w:val="18"/>
              </w:rPr>
              <w:t>Clostridium</w:t>
            </w:r>
            <w:r>
              <w:rPr>
                <w:sz w:val="18"/>
                <w:szCs w:val="18"/>
              </w:rPr>
              <w:t xml:space="preserve"> were found to be significantly enriched in CVD patients, suggesting a strong link between these microbes and cardiovascular disease. In contrast, beneficial bacteria like </w:t>
            </w:r>
            <w:proofErr w:type="spellStart"/>
            <w:r>
              <w:rPr>
                <w:i/>
                <w:sz w:val="18"/>
                <w:szCs w:val="18"/>
              </w:rPr>
              <w:t>Faecalibacterium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i/>
                <w:sz w:val="18"/>
                <w:szCs w:val="18"/>
              </w:rPr>
              <w:t>Ruminococcus</w:t>
            </w:r>
            <w:proofErr w:type="spellEnd"/>
            <w:r>
              <w:rPr>
                <w:sz w:val="18"/>
                <w:szCs w:val="18"/>
              </w:rPr>
              <w:t>, which are known for their anti-inflammatory properties, were more prevalent in non-CVD individuals.</w:t>
            </w:r>
          </w:p>
        </w:tc>
        <w:tc>
          <w:tcPr>
            <w:tcW w:w="1275" w:type="dxa"/>
          </w:tcPr>
          <w:p w:rsidR="00964681" w:rsidRDefault="00F91DD0">
            <w:pPr>
              <w:rPr>
                <w:sz w:val="20"/>
                <w:szCs w:val="20"/>
              </w:rPr>
            </w:pPr>
            <w:hyperlink r:id="rId5">
              <w:r w:rsidR="006572E6">
                <w:rPr>
                  <w:color w:val="0563C1"/>
                  <w:sz w:val="20"/>
                  <w:szCs w:val="20"/>
                  <w:u w:val="single"/>
                </w:rPr>
                <w:t>https://doi.org/10.1161/hypertensionaha.120.15885</w:t>
              </w:r>
            </w:hyperlink>
            <w:r w:rsidR="006572E6">
              <w:rPr>
                <w:sz w:val="20"/>
                <w:szCs w:val="20"/>
              </w:rPr>
              <w:t>.</w:t>
            </w:r>
          </w:p>
          <w:p w:rsidR="00964681" w:rsidRDefault="00964681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64681">
        <w:trPr>
          <w:trHeight w:val="1313"/>
        </w:trPr>
        <w:tc>
          <w:tcPr>
            <w:tcW w:w="1555" w:type="dxa"/>
          </w:tcPr>
          <w:p w:rsidR="00964681" w:rsidRDefault="00657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Atherosclerosis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Human: GSE43292 (32 atheroma plaques, 32 intact tissues); GSE120521 (4 unstable, 4 stable plaque samples); GSE155512 (4 atherosclerotic samples)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Random Forest, Weighted Gene Co-expression Network Analysis (WGCNA), Non-negative Matrix Factorization (NMF)</w:t>
            </w:r>
          </w:p>
        </w:tc>
        <w:tc>
          <w:tcPr>
            <w:tcW w:w="2693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Analyzes</w:t>
            </w:r>
            <w:proofErr w:type="spellEnd"/>
            <w:r>
              <w:rPr>
                <w:sz w:val="18"/>
                <w:szCs w:val="18"/>
              </w:rPr>
              <w:t xml:space="preserve"> gene expression differences in atherosclerotic plaques and identifies key macrophage-related genes (PLEK, IRF8, BTK, CCR1, CD68) linked to gut microbiota.</w:t>
            </w:r>
          </w:p>
        </w:tc>
        <w:tc>
          <w:tcPr>
            <w:tcW w:w="2126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Focused on specific macrophage genes and limited human sample size. The study relies on existing sequencing datasets without broader validation</w:t>
            </w:r>
          </w:p>
        </w:tc>
        <w:tc>
          <w:tcPr>
            <w:tcW w:w="3119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Identified gut microbiota-linked macrophage genes (PLEK, IRF8, BTK, CCR1, </w:t>
            </w:r>
            <w:proofErr w:type="gramStart"/>
            <w:r>
              <w:rPr>
                <w:sz w:val="18"/>
                <w:szCs w:val="18"/>
              </w:rPr>
              <w:t>CD68</w:t>
            </w:r>
            <w:proofErr w:type="gramEnd"/>
            <w:r>
              <w:rPr>
                <w:sz w:val="18"/>
                <w:szCs w:val="18"/>
              </w:rPr>
              <w:t>) involved in immune response and plaque instability, highlighting potential diagnostic markers and therapeutic targets.</w:t>
            </w:r>
          </w:p>
        </w:tc>
        <w:tc>
          <w:tcPr>
            <w:tcW w:w="1275" w:type="dxa"/>
          </w:tcPr>
          <w:p w:rsidR="00964681" w:rsidRDefault="00F91DD0">
            <w:pPr>
              <w:rPr>
                <w:sz w:val="20"/>
                <w:szCs w:val="20"/>
              </w:rPr>
            </w:pPr>
            <w:hyperlink r:id="rId6">
              <w:r w:rsidR="006572E6">
                <w:rPr>
                  <w:color w:val="0563C1"/>
                  <w:sz w:val="20"/>
                  <w:szCs w:val="20"/>
                  <w:u w:val="single"/>
                </w:rPr>
                <w:t>https://doi.org/10.3389/fcimb.2024.1395716</w:t>
              </w:r>
            </w:hyperlink>
            <w:r w:rsidR="006572E6">
              <w:rPr>
                <w:sz w:val="20"/>
                <w:szCs w:val="20"/>
              </w:rPr>
              <w:t>.</w:t>
            </w:r>
          </w:p>
          <w:p w:rsidR="00964681" w:rsidRDefault="0065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4681">
        <w:trPr>
          <w:trHeight w:val="2662"/>
        </w:trPr>
        <w:tc>
          <w:tcPr>
            <w:tcW w:w="1555" w:type="dxa"/>
          </w:tcPr>
          <w:p w:rsidR="00964681" w:rsidRDefault="006572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Dyslipidemia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</w:p>
          <w:p w:rsidR="00964681" w:rsidRDefault="00657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Atherosclerosis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441,016 (UK Biobank dataset for serum lipids); 18,340 individuals for the gut microbiome data from the GWAS (Genome-Wide Association Study).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Mendelian Randomization (MR), Inverse Variance Weighted (IVW), Weighted Median (WM), MR-Egger, MR-PRESSO</w:t>
            </w:r>
          </w:p>
        </w:tc>
        <w:tc>
          <w:tcPr>
            <w:tcW w:w="2693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Investigates causal relationships between the gut microbiome and lipid levels (LDL, HDL, TG, </w:t>
            </w:r>
            <w:proofErr w:type="spellStart"/>
            <w:r>
              <w:rPr>
                <w:sz w:val="18"/>
                <w:szCs w:val="18"/>
              </w:rPr>
              <w:t>ApoA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ApoB</w:t>
            </w:r>
            <w:proofErr w:type="spellEnd"/>
            <w:r>
              <w:rPr>
                <w:sz w:val="18"/>
                <w:szCs w:val="18"/>
              </w:rPr>
              <w:t>) using bidirectional MR analysis.</w:t>
            </w: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Explores the causal role of the gut microbiome in influencing atherosclerosis-related lipid traits using GWAS and genetic data to infer causality</w:t>
            </w: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Confined to European populations; potential confounding factors like diet/environment not fully addressed.</w:t>
            </w:r>
          </w:p>
        </w:tc>
        <w:tc>
          <w:tcPr>
            <w:tcW w:w="3119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Nine intestinal flora associated with </w:t>
            </w:r>
            <w:proofErr w:type="spellStart"/>
            <w:r>
              <w:rPr>
                <w:sz w:val="18"/>
                <w:szCs w:val="18"/>
              </w:rPr>
              <w:t>dyslipidemia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Desulfovibrionaceae</w:t>
            </w:r>
            <w:proofErr w:type="spellEnd"/>
            <w:r>
              <w:rPr>
                <w:sz w:val="18"/>
                <w:szCs w:val="18"/>
              </w:rPr>
              <w:t xml:space="preserve"> inversely related to </w:t>
            </w:r>
            <w:proofErr w:type="spellStart"/>
            <w:r>
              <w:rPr>
                <w:sz w:val="18"/>
                <w:szCs w:val="18"/>
              </w:rPr>
              <w:t>ApoB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Parasutterella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Terrisporobacter</w:t>
            </w:r>
            <w:proofErr w:type="spellEnd"/>
            <w:r>
              <w:rPr>
                <w:sz w:val="18"/>
                <w:szCs w:val="18"/>
              </w:rPr>
              <w:t xml:space="preserve"> linked to higher LDL-C; </w:t>
            </w:r>
            <w:proofErr w:type="spellStart"/>
            <w:r>
              <w:rPr>
                <w:sz w:val="18"/>
                <w:szCs w:val="18"/>
              </w:rPr>
              <w:t>Oscillospira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Peptococcus</w:t>
            </w:r>
            <w:proofErr w:type="spellEnd"/>
            <w:r>
              <w:rPr>
                <w:sz w:val="18"/>
                <w:szCs w:val="18"/>
              </w:rPr>
              <w:t xml:space="preserve"> negatively correlated with LDL-C; </w:t>
            </w:r>
            <w:proofErr w:type="spellStart"/>
            <w:r>
              <w:rPr>
                <w:sz w:val="18"/>
                <w:szCs w:val="18"/>
              </w:rPr>
              <w:t>Dorea</w:t>
            </w:r>
            <w:proofErr w:type="spellEnd"/>
            <w:r>
              <w:rPr>
                <w:sz w:val="18"/>
                <w:szCs w:val="18"/>
              </w:rPr>
              <w:t xml:space="preserve"> associated with lower triglyceride levels; Suggests potential for probiotic therapy or </w:t>
            </w:r>
            <w:proofErr w:type="spellStart"/>
            <w:r>
              <w:rPr>
                <w:sz w:val="18"/>
                <w:szCs w:val="18"/>
              </w:rPr>
              <w:t>fecal</w:t>
            </w:r>
            <w:proofErr w:type="spellEnd"/>
            <w:r>
              <w:rPr>
                <w:sz w:val="18"/>
                <w:szCs w:val="18"/>
              </w:rPr>
              <w:t xml:space="preserve"> transplants. </w:t>
            </w:r>
          </w:p>
          <w:p w:rsidR="00964681" w:rsidRDefault="00964681">
            <w:pPr>
              <w:ind w:left="316"/>
              <w:jc w:val="both"/>
              <w:rPr>
                <w:sz w:val="18"/>
                <w:szCs w:val="18"/>
              </w:rPr>
            </w:pPr>
          </w:p>
          <w:p w:rsidR="00964681" w:rsidRDefault="006572E6" w:rsidP="006572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Christensenellaceae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Ruminococcaceae</w:t>
            </w:r>
            <w:proofErr w:type="spellEnd"/>
            <w:r>
              <w:rPr>
                <w:sz w:val="18"/>
                <w:szCs w:val="18"/>
              </w:rPr>
              <w:t xml:space="preserve"> linked to higher </w:t>
            </w:r>
            <w:proofErr w:type="spellStart"/>
            <w:r>
              <w:rPr>
                <w:sz w:val="18"/>
                <w:szCs w:val="18"/>
              </w:rPr>
              <w:t>ApoB</w:t>
            </w:r>
            <w:proofErr w:type="spellEnd"/>
            <w:r>
              <w:rPr>
                <w:sz w:val="18"/>
                <w:szCs w:val="18"/>
              </w:rPr>
              <w:t xml:space="preserve">, increasing atherosclerosis risk; </w:t>
            </w:r>
            <w:proofErr w:type="spellStart"/>
            <w:r>
              <w:rPr>
                <w:sz w:val="18"/>
                <w:szCs w:val="18"/>
              </w:rPr>
              <w:t>Desulfovibrionaceae</w:t>
            </w:r>
            <w:proofErr w:type="spellEnd"/>
            <w:r>
              <w:rPr>
                <w:sz w:val="18"/>
                <w:szCs w:val="18"/>
              </w:rPr>
              <w:t xml:space="preserve"> showed a </w:t>
            </w:r>
            <w:r>
              <w:rPr>
                <w:sz w:val="18"/>
                <w:szCs w:val="18"/>
              </w:rPr>
              <w:lastRenderedPageBreak/>
              <w:t xml:space="preserve">protective effect by lowering </w:t>
            </w:r>
            <w:proofErr w:type="spellStart"/>
            <w:r>
              <w:rPr>
                <w:sz w:val="18"/>
                <w:szCs w:val="18"/>
              </w:rPr>
              <w:t>ApoB</w:t>
            </w:r>
            <w:proofErr w:type="spellEnd"/>
            <w:r>
              <w:rPr>
                <w:sz w:val="18"/>
                <w:szCs w:val="18"/>
              </w:rPr>
              <w:t>; Findings suggest gut microbiome manipulation as a potential therapy for atherosclerosis and lipid imbalances</w:t>
            </w:r>
          </w:p>
        </w:tc>
        <w:tc>
          <w:tcPr>
            <w:tcW w:w="1275" w:type="dxa"/>
          </w:tcPr>
          <w:p w:rsidR="00964681" w:rsidRDefault="006572E6">
            <w:pPr>
              <w:rPr>
                <w:sz w:val="20"/>
                <w:szCs w:val="20"/>
              </w:rPr>
            </w:pP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https://doi.org/10.1186/s12872-024-03804-3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</w:tc>
      </w:tr>
      <w:tr w:rsidR="00964681">
        <w:trPr>
          <w:trHeight w:val="58"/>
        </w:trPr>
        <w:tc>
          <w:tcPr>
            <w:tcW w:w="1555" w:type="dxa"/>
          </w:tcPr>
          <w:p w:rsidR="00964681" w:rsidRDefault="00657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Cardiovascular Disease, Ischaemic Heart Disease, Myocardial Infarction, Coronary Atherosclerosis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3,860 individuals from six ethnicities (Dutch, African-Surinamese, South-Asian Surinamese, Turkish, Moroccan, Ghanaian) in the HELIUS cohort</w:t>
            </w:r>
          </w:p>
        </w:tc>
        <w:tc>
          <w:tcPr>
            <w:tcW w:w="2268" w:type="dxa"/>
          </w:tcPr>
          <w:p w:rsidR="00964681" w:rsidRDefault="00657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XGBoost</w:t>
            </w:r>
            <w:proofErr w:type="spellEnd"/>
            <w:r>
              <w:rPr>
                <w:sz w:val="18"/>
                <w:szCs w:val="18"/>
              </w:rPr>
              <w:t xml:space="preserve"> (Gradient-Boosted Trees) for predicting Framingham score; Mendelian Randomization for causal inference</w:t>
            </w:r>
          </w:p>
        </w:tc>
        <w:tc>
          <w:tcPr>
            <w:tcW w:w="2693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XGBoost</w:t>
            </w:r>
            <w:proofErr w:type="spellEnd"/>
            <w:r>
              <w:rPr>
                <w:sz w:val="18"/>
                <w:szCs w:val="18"/>
              </w:rPr>
              <w:t xml:space="preserve"> used to predict 10-year CVD risk based on gut microbiota composition. MR used to infer causal relationships between gut microbiota and specific cardiovascular outcomes (e.g., ischemic heart disease, myocardial infarction).</w:t>
            </w:r>
          </w:p>
        </w:tc>
        <w:tc>
          <w:tcPr>
            <w:tcW w:w="2126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Ethnic-specific variability in microbiota relevance; reduced predictive accuracy for Turkish and Ghanaian groups in </w:t>
            </w:r>
            <w:proofErr w:type="spellStart"/>
            <w:r>
              <w:rPr>
                <w:sz w:val="18"/>
                <w:szCs w:val="18"/>
              </w:rPr>
              <w:t>XGBoost</w:t>
            </w:r>
            <w:proofErr w:type="spellEnd"/>
            <w:r>
              <w:rPr>
                <w:sz w:val="18"/>
                <w:szCs w:val="18"/>
              </w:rPr>
              <w:t>; limited generalizability of MR findings across all ethnic groups.</w:t>
            </w:r>
          </w:p>
        </w:tc>
        <w:tc>
          <w:tcPr>
            <w:tcW w:w="3119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CMR cluster (</w:t>
            </w:r>
            <w:proofErr w:type="spellStart"/>
            <w:r>
              <w:rPr>
                <w:i/>
                <w:sz w:val="18"/>
                <w:szCs w:val="18"/>
              </w:rPr>
              <w:t>Christensenellaceae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Methanobrevibacter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Ruminococcaceae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 inversely correlated with triglycerides, lowering CVD risk. </w:t>
            </w:r>
            <w:proofErr w:type="spellStart"/>
            <w:r>
              <w:rPr>
                <w:i/>
                <w:sz w:val="18"/>
                <w:szCs w:val="18"/>
              </w:rPr>
              <w:t>Akkermansia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muciniphila</w:t>
            </w:r>
            <w:proofErr w:type="spellEnd"/>
            <w:r>
              <w:rPr>
                <w:sz w:val="18"/>
                <w:szCs w:val="18"/>
              </w:rPr>
              <w:t xml:space="preserve"> is protective in African-Surinamese; </w:t>
            </w:r>
            <w:proofErr w:type="spellStart"/>
            <w:r>
              <w:rPr>
                <w:i/>
                <w:sz w:val="18"/>
                <w:szCs w:val="18"/>
              </w:rPr>
              <w:t>Ruminococcaceae</w:t>
            </w:r>
            <w:proofErr w:type="spellEnd"/>
            <w:r>
              <w:rPr>
                <w:sz w:val="18"/>
                <w:szCs w:val="18"/>
              </w:rPr>
              <w:t xml:space="preserve"> UCG-002 in Moroccans. </w:t>
            </w:r>
            <w:proofErr w:type="spellStart"/>
            <w:r>
              <w:rPr>
                <w:i/>
                <w:sz w:val="18"/>
                <w:szCs w:val="18"/>
              </w:rPr>
              <w:t>Ruminiclostridium</w:t>
            </w:r>
            <w:proofErr w:type="spellEnd"/>
            <w:r>
              <w:rPr>
                <w:sz w:val="18"/>
                <w:szCs w:val="18"/>
              </w:rPr>
              <w:t xml:space="preserve"> 6 and </w:t>
            </w:r>
            <w:proofErr w:type="spellStart"/>
            <w:r>
              <w:rPr>
                <w:i/>
                <w:sz w:val="18"/>
                <w:szCs w:val="18"/>
              </w:rPr>
              <w:t>Bacteroidetes</w:t>
            </w:r>
            <w:proofErr w:type="spellEnd"/>
            <w:r>
              <w:rPr>
                <w:sz w:val="18"/>
                <w:szCs w:val="18"/>
              </w:rPr>
              <w:t xml:space="preserve"> are protective in African-Surinamese, while </w:t>
            </w:r>
            <w:proofErr w:type="spellStart"/>
            <w:r>
              <w:rPr>
                <w:i/>
                <w:sz w:val="18"/>
                <w:szCs w:val="18"/>
              </w:rPr>
              <w:t>Dorea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longicatena</w:t>
            </w:r>
            <w:proofErr w:type="spellEnd"/>
            <w:r>
              <w:rPr>
                <w:sz w:val="18"/>
                <w:szCs w:val="18"/>
              </w:rPr>
              <w:t xml:space="preserve"> is associated with increased CVD risk. </w:t>
            </w:r>
            <w:proofErr w:type="spellStart"/>
            <w:r>
              <w:rPr>
                <w:i/>
                <w:sz w:val="18"/>
                <w:szCs w:val="18"/>
              </w:rPr>
              <w:t>Ruminococcaceae</w:t>
            </w:r>
            <w:proofErr w:type="spellEnd"/>
            <w:r>
              <w:rPr>
                <w:sz w:val="18"/>
                <w:szCs w:val="18"/>
              </w:rPr>
              <w:t xml:space="preserve"> UCG-005 and </w:t>
            </w:r>
            <w:proofErr w:type="spellStart"/>
            <w:r>
              <w:rPr>
                <w:i/>
                <w:sz w:val="18"/>
                <w:szCs w:val="18"/>
              </w:rPr>
              <w:t>Lachnospira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pectinoschiza</w:t>
            </w:r>
            <w:proofErr w:type="spellEnd"/>
            <w:r>
              <w:rPr>
                <w:sz w:val="18"/>
                <w:szCs w:val="18"/>
              </w:rPr>
              <w:t xml:space="preserve"> show protective effects in Moroccans.</w:t>
            </w:r>
          </w:p>
        </w:tc>
        <w:tc>
          <w:tcPr>
            <w:tcW w:w="1275" w:type="dxa"/>
          </w:tcPr>
          <w:p w:rsidR="00964681" w:rsidRDefault="00F91DD0">
            <w:pPr>
              <w:rPr>
                <w:sz w:val="20"/>
                <w:szCs w:val="20"/>
              </w:rPr>
            </w:pPr>
            <w:hyperlink r:id="rId8">
              <w:r w:rsidR="006572E6">
                <w:rPr>
                  <w:color w:val="0563C1"/>
                  <w:sz w:val="20"/>
                  <w:szCs w:val="20"/>
                  <w:u w:val="single"/>
                </w:rPr>
                <w:t>https://doi.org/10.1093/cvr/cvae018</w:t>
              </w:r>
            </w:hyperlink>
            <w:r w:rsidR="006572E6">
              <w:rPr>
                <w:sz w:val="20"/>
                <w:szCs w:val="20"/>
              </w:rPr>
              <w:t xml:space="preserve">. </w:t>
            </w:r>
          </w:p>
        </w:tc>
      </w:tr>
      <w:tr w:rsidR="00964681">
        <w:tc>
          <w:tcPr>
            <w:tcW w:w="1555" w:type="dxa"/>
          </w:tcPr>
          <w:p w:rsidR="00964681" w:rsidRDefault="00657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 of Dairy Intake on Gut Microbiota and </w:t>
            </w:r>
            <w:proofErr w:type="spellStart"/>
            <w:r>
              <w:rPr>
                <w:sz w:val="18"/>
                <w:szCs w:val="18"/>
              </w:rPr>
              <w:t>Cardiometabolic</w:t>
            </w:r>
            <w:proofErr w:type="spellEnd"/>
            <w:r>
              <w:rPr>
                <w:sz w:val="18"/>
                <w:szCs w:val="18"/>
              </w:rPr>
              <w:t xml:space="preserve"> Health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</w:pPr>
            <w:r>
              <w:rPr>
                <w:sz w:val="18"/>
                <w:szCs w:val="18"/>
              </w:rPr>
              <w:t xml:space="preserve">1780 </w:t>
            </w:r>
            <w:proofErr w:type="gramStart"/>
            <w:r>
              <w:rPr>
                <w:sz w:val="18"/>
                <w:szCs w:val="18"/>
              </w:rPr>
              <w:t xml:space="preserve">participants </w:t>
            </w:r>
            <w:r>
              <w:t xml:space="preserve"> </w:t>
            </w:r>
            <w:r>
              <w:rPr>
                <w:sz w:val="18"/>
                <w:szCs w:val="18"/>
              </w:rPr>
              <w:t>aged</w:t>
            </w:r>
            <w:proofErr w:type="gramEnd"/>
            <w:r>
              <w:rPr>
                <w:sz w:val="18"/>
                <w:szCs w:val="18"/>
              </w:rPr>
              <w:t xml:space="preserve"> 45-70 years.</w:t>
            </w:r>
            <w:r>
              <w:t xml:space="preserve"> </w:t>
            </w:r>
          </w:p>
          <w:p w:rsidR="00964681" w:rsidRDefault="00964681">
            <w:pPr>
              <w:jc w:val="both"/>
            </w:pPr>
          </w:p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Microbial DNA was extracted from </w:t>
            </w:r>
            <w:proofErr w:type="spellStart"/>
            <w:r>
              <w:rPr>
                <w:sz w:val="18"/>
                <w:szCs w:val="18"/>
              </w:rPr>
              <w:t>fecal</w:t>
            </w:r>
            <w:proofErr w:type="spellEnd"/>
            <w:r>
              <w:rPr>
                <w:sz w:val="18"/>
                <w:szCs w:val="18"/>
              </w:rPr>
              <w:t xml:space="preserve"> samples, and the V3-V4 hypervariable region of the 16S </w:t>
            </w:r>
            <w:proofErr w:type="spellStart"/>
            <w:r>
              <w:rPr>
                <w:sz w:val="18"/>
                <w:szCs w:val="18"/>
              </w:rPr>
              <w:t>rRNA</w:t>
            </w:r>
            <w:proofErr w:type="spellEnd"/>
            <w:r>
              <w:rPr>
                <w:sz w:val="18"/>
                <w:szCs w:val="18"/>
              </w:rPr>
              <w:t xml:space="preserve"> gene was amplified and sequenced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Discriminant Analysis Effect Size (</w:t>
            </w:r>
            <w:proofErr w:type="spellStart"/>
            <w:r>
              <w:rPr>
                <w:sz w:val="18"/>
                <w:szCs w:val="18"/>
              </w:rPr>
              <w:t>LEfSe</w:t>
            </w:r>
            <w:proofErr w:type="spellEnd"/>
            <w:r>
              <w:rPr>
                <w:sz w:val="18"/>
                <w:szCs w:val="18"/>
              </w:rPr>
              <w:t xml:space="preserve">); </w:t>
            </w:r>
          </w:p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Coordinate Analysis (</w:t>
            </w:r>
            <w:proofErr w:type="spellStart"/>
            <w:r>
              <w:rPr>
                <w:sz w:val="18"/>
                <w:szCs w:val="18"/>
              </w:rPr>
              <w:t>PCoA</w:t>
            </w:r>
            <w:proofErr w:type="spellEnd"/>
            <w:r>
              <w:rPr>
                <w:sz w:val="18"/>
                <w:szCs w:val="18"/>
              </w:rPr>
              <w:t>) with Bray-Curtis Distance &amp; PERMANOVA</w:t>
            </w:r>
          </w:p>
        </w:tc>
        <w:tc>
          <w:tcPr>
            <w:tcW w:w="2693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LEfSe</w:t>
            </w:r>
            <w:proofErr w:type="spellEnd"/>
            <w:r>
              <w:rPr>
                <w:sz w:val="18"/>
                <w:szCs w:val="18"/>
              </w:rPr>
              <w:t xml:space="preserve"> was used to identify specific gut microbial biomarkers associated with varying levels of dairy intake (milk, yogurt). </w:t>
            </w:r>
            <w:proofErr w:type="spellStart"/>
            <w:r>
              <w:rPr>
                <w:sz w:val="18"/>
                <w:szCs w:val="18"/>
              </w:rPr>
              <w:t>PCoA</w:t>
            </w:r>
            <w:proofErr w:type="spellEnd"/>
            <w:r>
              <w:rPr>
                <w:sz w:val="18"/>
                <w:szCs w:val="18"/>
              </w:rPr>
              <w:t xml:space="preserve"> with Bray-Curtis distance and PERMANOVA were used to explore overall microbial community structure in relation to dairy consumption.</w:t>
            </w:r>
          </w:p>
        </w:tc>
        <w:tc>
          <w:tcPr>
            <w:tcW w:w="2126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Population specificity limits generalizability to other demographics; single time-point data may not capture long-term dietary changes; observational design prevents establishing causality and cannot control for unmeasured confounding factors; geographical focus on one city necessitates multi-centre and longitudinal studies for validation.</w:t>
            </w:r>
          </w:p>
        </w:tc>
        <w:tc>
          <w:tcPr>
            <w:tcW w:w="3119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Higher dairy </w:t>
            </w:r>
            <w:proofErr w:type="spellStart"/>
            <w:r>
              <w:rPr>
                <w:sz w:val="18"/>
                <w:szCs w:val="18"/>
              </w:rPr>
              <w:t>intakewas</w:t>
            </w:r>
            <w:proofErr w:type="spellEnd"/>
            <w:r>
              <w:rPr>
                <w:sz w:val="18"/>
                <w:szCs w:val="18"/>
              </w:rPr>
              <w:t xml:space="preserve"> positively associated with increased gut microbial diversity. </w:t>
            </w: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Beneficial bacteria such as </w:t>
            </w:r>
            <w:proofErr w:type="spellStart"/>
            <w:r>
              <w:rPr>
                <w:i/>
                <w:sz w:val="18"/>
                <w:szCs w:val="18"/>
              </w:rPr>
              <w:t>Bifidobacterium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r>
              <w:rPr>
                <w:i/>
                <w:sz w:val="18"/>
                <w:szCs w:val="18"/>
              </w:rPr>
              <w:t>Streptococcus</w:t>
            </w:r>
            <w:r>
              <w:rPr>
                <w:sz w:val="18"/>
                <w:szCs w:val="18"/>
              </w:rPr>
              <w:t xml:space="preserve"> were enriched, while lower dairy intake correlated with </w:t>
            </w:r>
            <w:proofErr w:type="spellStart"/>
            <w:r>
              <w:rPr>
                <w:i/>
                <w:sz w:val="18"/>
                <w:szCs w:val="18"/>
              </w:rPr>
              <w:t>Enterobacteriaceae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Greater microbial diversity was linked to improved lipid profile and </w:t>
            </w:r>
            <w:proofErr w:type="spellStart"/>
            <w:r>
              <w:rPr>
                <w:sz w:val="18"/>
                <w:szCs w:val="18"/>
              </w:rPr>
              <w:t>cardiometabolic</w:t>
            </w:r>
            <w:proofErr w:type="spellEnd"/>
            <w:r>
              <w:rPr>
                <w:sz w:val="18"/>
                <w:szCs w:val="18"/>
              </w:rPr>
              <w:t xml:space="preserve"> health. </w:t>
            </w: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2-hydroxy-3-methylbutyric acid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L-alanine</w:t>
            </w:r>
            <w:r>
              <w:rPr>
                <w:sz w:val="18"/>
                <w:szCs w:val="18"/>
              </w:rPr>
              <w:t xml:space="preserve"> were inversely associated with </w:t>
            </w:r>
            <w:r>
              <w:rPr>
                <w:sz w:val="18"/>
                <w:szCs w:val="18"/>
              </w:rPr>
              <w:lastRenderedPageBreak/>
              <w:t xml:space="preserve">microbial diversity and positively linked to triglycerides, </w:t>
            </w: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64681" w:rsidRDefault="00F91DD0">
            <w:pPr>
              <w:rPr>
                <w:sz w:val="20"/>
                <w:szCs w:val="20"/>
              </w:rPr>
            </w:pPr>
            <w:hyperlink r:id="rId9">
              <w:r w:rsidR="006572E6">
                <w:rPr>
                  <w:color w:val="0563C1"/>
                  <w:sz w:val="20"/>
                  <w:szCs w:val="20"/>
                  <w:u w:val="single"/>
                </w:rPr>
                <w:t>https://doi.org/10.1016/j.ebiom.2021.103284</w:t>
              </w:r>
            </w:hyperlink>
            <w:r w:rsidR="006572E6">
              <w:rPr>
                <w:sz w:val="20"/>
                <w:szCs w:val="20"/>
              </w:rPr>
              <w:t xml:space="preserve">. </w:t>
            </w:r>
          </w:p>
        </w:tc>
      </w:tr>
      <w:tr w:rsidR="00964681">
        <w:trPr>
          <w:trHeight w:val="1476"/>
        </w:trPr>
        <w:tc>
          <w:tcPr>
            <w:tcW w:w="1555" w:type="dxa"/>
          </w:tcPr>
          <w:p w:rsidR="00964681" w:rsidRDefault="00657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Acute Coronary Syndrome (ACS) and Gut Microbiota Imbalance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Fecal</w:t>
            </w:r>
            <w:proofErr w:type="spellEnd"/>
            <w:r>
              <w:rPr>
                <w:sz w:val="18"/>
                <w:szCs w:val="18"/>
              </w:rPr>
              <w:t xml:space="preserve"> samples from different groups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Orthogonal Partial Least Squares Discriminant Analysis (OPLS-DA)</w:t>
            </w:r>
          </w:p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Empirical Analysis of Digital Gene Expression Data in R (</w:t>
            </w:r>
            <w:proofErr w:type="spellStart"/>
            <w:r>
              <w:rPr>
                <w:sz w:val="18"/>
                <w:szCs w:val="18"/>
              </w:rPr>
              <w:t>edgeR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64681" w:rsidRDefault="00657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OPLS-DA </w:t>
            </w:r>
            <w:proofErr w:type="spellStart"/>
            <w:r>
              <w:rPr>
                <w:sz w:val="18"/>
                <w:szCs w:val="18"/>
              </w:rPr>
              <w:t>analyzed</w:t>
            </w:r>
            <w:proofErr w:type="spellEnd"/>
            <w:r>
              <w:rPr>
                <w:sz w:val="18"/>
                <w:szCs w:val="18"/>
              </w:rPr>
              <w:t xml:space="preserve"> metabolite data and gut microbiota diversity (alpha and beta) to identify peaks and Amplicon Sequence Variants (ASVs). </w:t>
            </w:r>
            <w:proofErr w:type="spellStart"/>
            <w:proofErr w:type="gramStart"/>
            <w:r>
              <w:rPr>
                <w:sz w:val="18"/>
                <w:szCs w:val="18"/>
              </w:rPr>
              <w:t>edgeR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identified differentially abundant ASVs across groups.</w:t>
            </w:r>
          </w:p>
        </w:tc>
        <w:tc>
          <w:tcPr>
            <w:tcW w:w="2126" w:type="dxa"/>
          </w:tcPr>
          <w:p w:rsidR="00964681" w:rsidRDefault="00657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size, diversity, and potential confounding factors like diet not fully controlled.</w:t>
            </w:r>
          </w:p>
        </w:tc>
        <w:tc>
          <w:tcPr>
            <w:tcW w:w="3119" w:type="dxa"/>
          </w:tcPr>
          <w:p w:rsidR="00964681" w:rsidRDefault="0065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Statin treatment altered gut microbiota, reducing pathogenic (</w:t>
            </w:r>
            <w:r>
              <w:rPr>
                <w:i/>
                <w:sz w:val="18"/>
                <w:szCs w:val="18"/>
              </w:rPr>
              <w:t xml:space="preserve">Parabacteroides </w:t>
            </w:r>
            <w:proofErr w:type="spellStart"/>
            <w:r>
              <w:rPr>
                <w:i/>
                <w:sz w:val="18"/>
                <w:szCs w:val="18"/>
              </w:rPr>
              <w:t>merdae</w:t>
            </w:r>
            <w:proofErr w:type="spellEnd"/>
            <w:r>
              <w:rPr>
                <w:sz w:val="18"/>
                <w:szCs w:val="18"/>
              </w:rPr>
              <w:t>) and increasing beneficial taxa (</w:t>
            </w:r>
            <w:proofErr w:type="spellStart"/>
            <w:r>
              <w:rPr>
                <w:i/>
                <w:sz w:val="18"/>
                <w:szCs w:val="18"/>
              </w:rPr>
              <w:t>Bifidobacterium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longum</w:t>
            </w:r>
            <w:proofErr w:type="spellEnd"/>
            <w:r>
              <w:rPr>
                <w:i/>
                <w:sz w:val="18"/>
                <w:szCs w:val="18"/>
              </w:rPr>
              <w:t xml:space="preserve"> subsp. </w:t>
            </w:r>
            <w:proofErr w:type="spellStart"/>
            <w:r>
              <w:rPr>
                <w:i/>
                <w:sz w:val="18"/>
                <w:szCs w:val="18"/>
              </w:rPr>
              <w:t>longum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Anaerostipes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hadrus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Ruminococcus</w:t>
            </w:r>
            <w:proofErr w:type="spellEnd"/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obeum</w:t>
            </w:r>
            <w:proofErr w:type="spellEnd"/>
            <w:r>
              <w:rPr>
                <w:sz w:val="18"/>
                <w:szCs w:val="18"/>
              </w:rPr>
              <w:t xml:space="preserve">). Chronic therapy improved clinical outcomes, lowering adverse events and readmissions. Changes in taxa were linked to disease severity and correlated with fatty acid and isoprenoid pathways. A multi-omics approach integrated microbiome and </w:t>
            </w:r>
            <w:proofErr w:type="spellStart"/>
            <w:r>
              <w:rPr>
                <w:sz w:val="18"/>
                <w:szCs w:val="18"/>
              </w:rPr>
              <w:t>metabolomic</w:t>
            </w:r>
            <w:proofErr w:type="spellEnd"/>
            <w:r>
              <w:rPr>
                <w:sz w:val="18"/>
                <w:szCs w:val="18"/>
              </w:rPr>
              <w:t xml:space="preserve"> analyses for deeper insights into statins' roles in ACS.</w:t>
            </w: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  <w:p w:rsidR="00964681" w:rsidRDefault="00964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64681" w:rsidRDefault="00F91DD0">
            <w:pPr>
              <w:rPr>
                <w:sz w:val="20"/>
                <w:szCs w:val="20"/>
              </w:rPr>
            </w:pPr>
            <w:hyperlink r:id="rId10">
              <w:r w:rsidR="006572E6">
                <w:rPr>
                  <w:color w:val="0563C1"/>
                  <w:sz w:val="20"/>
                  <w:szCs w:val="20"/>
                  <w:u w:val="single"/>
                </w:rPr>
                <w:t>https://doi.org/10.7150%2Fthno.55946</w:t>
              </w:r>
            </w:hyperlink>
            <w:r w:rsidR="006572E6">
              <w:rPr>
                <w:sz w:val="20"/>
                <w:szCs w:val="20"/>
              </w:rPr>
              <w:t xml:space="preserve">. </w:t>
            </w:r>
          </w:p>
        </w:tc>
      </w:tr>
      <w:tr w:rsidR="00964681">
        <w:trPr>
          <w:trHeight w:val="2825"/>
        </w:trPr>
        <w:tc>
          <w:tcPr>
            <w:tcW w:w="1555" w:type="dxa"/>
          </w:tcPr>
          <w:p w:rsidR="00964681" w:rsidRDefault="0065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Atherosclerosis and </w:t>
            </w:r>
            <w:proofErr w:type="spellStart"/>
            <w:r>
              <w:rPr>
                <w:sz w:val="20"/>
                <w:szCs w:val="20"/>
              </w:rPr>
              <w:t>Cardiometabolic</w:t>
            </w:r>
            <w:proofErr w:type="spellEnd"/>
            <w:r>
              <w:rPr>
                <w:sz w:val="20"/>
                <w:szCs w:val="20"/>
              </w:rPr>
              <w:t xml:space="preserve"> Disease</w:t>
            </w:r>
          </w:p>
        </w:tc>
        <w:tc>
          <w:tcPr>
            <w:tcW w:w="2268" w:type="dxa"/>
          </w:tcPr>
          <w:p w:rsidR="00964681" w:rsidRDefault="006572E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Apolipoprotein</w:t>
            </w:r>
            <w:proofErr w:type="spellEnd"/>
            <w:r>
              <w:rPr>
                <w:sz w:val="20"/>
                <w:szCs w:val="20"/>
              </w:rPr>
              <w:t xml:space="preserve"> E knockout model; Human: 30 patients with carotid atherosclerosis and 20 controls</w:t>
            </w:r>
          </w:p>
        </w:tc>
        <w:tc>
          <w:tcPr>
            <w:tcW w:w="2268" w:type="dxa"/>
          </w:tcPr>
          <w:p w:rsidR="00964681" w:rsidRDefault="0065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Random Forest, Cross-omics analysis (metabolomics + 16S </w:t>
            </w:r>
            <w:proofErr w:type="spellStart"/>
            <w:r>
              <w:rPr>
                <w:sz w:val="20"/>
                <w:szCs w:val="20"/>
              </w:rPr>
              <w:t>rRNA</w:t>
            </w:r>
            <w:proofErr w:type="spellEnd"/>
            <w:r>
              <w:rPr>
                <w:sz w:val="20"/>
                <w:szCs w:val="20"/>
              </w:rPr>
              <w:t xml:space="preserve"> sequencing)</w:t>
            </w:r>
          </w:p>
        </w:tc>
        <w:tc>
          <w:tcPr>
            <w:tcW w:w="2693" w:type="dxa"/>
          </w:tcPr>
          <w:p w:rsidR="00964681" w:rsidRDefault="006572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Investigates antibiotics-induced gut </w:t>
            </w:r>
            <w:proofErr w:type="spellStart"/>
            <w:r>
              <w:rPr>
                <w:sz w:val="20"/>
                <w:szCs w:val="20"/>
              </w:rPr>
              <w:t>dysbiosis</w:t>
            </w:r>
            <w:proofErr w:type="spellEnd"/>
            <w:r>
              <w:rPr>
                <w:sz w:val="20"/>
                <w:szCs w:val="20"/>
              </w:rPr>
              <w:t xml:space="preserve"> in atherosclerosis and </w:t>
            </w:r>
            <w:proofErr w:type="spellStart"/>
            <w:r>
              <w:rPr>
                <w:sz w:val="20"/>
                <w:szCs w:val="20"/>
              </w:rPr>
              <w:t>cardiometabolic</w:t>
            </w:r>
            <w:proofErr w:type="spellEnd"/>
            <w:r>
              <w:rPr>
                <w:sz w:val="20"/>
                <w:szCs w:val="20"/>
              </w:rPr>
              <w:t xml:space="preserve"> diseases, emphasizing shifts in gut microbiota, serum metabolome, and metabolic diversity. Focuses on disrupted tryptophan and lipid metabolism pathways</w:t>
            </w:r>
          </w:p>
        </w:tc>
        <w:tc>
          <w:tcPr>
            <w:tcW w:w="2126" w:type="dxa"/>
          </w:tcPr>
          <w:p w:rsidR="00964681" w:rsidRDefault="006572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bacterial families and pathways examined; human cohort restricted to Caucasians, and long-term antibiotic effects not fully addressed.</w:t>
            </w:r>
          </w:p>
        </w:tc>
        <w:tc>
          <w:tcPr>
            <w:tcW w:w="3119" w:type="dxa"/>
          </w:tcPr>
          <w:p w:rsidR="00964681" w:rsidRDefault="006572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Antibiotics-induced gut </w:t>
            </w:r>
            <w:proofErr w:type="spellStart"/>
            <w:r>
              <w:rPr>
                <w:sz w:val="20"/>
                <w:szCs w:val="20"/>
              </w:rPr>
              <w:t>dysbiosis</w:t>
            </w:r>
            <w:proofErr w:type="spellEnd"/>
            <w:r>
              <w:rPr>
                <w:sz w:val="20"/>
                <w:szCs w:val="20"/>
              </w:rPr>
              <w:t xml:space="preserve"> exacerbated atherosclerosis by altering tryptophan and lipid metabolism, with loss of Clostridia and </w:t>
            </w:r>
            <w:proofErr w:type="spellStart"/>
            <w:r>
              <w:rPr>
                <w:sz w:val="20"/>
                <w:szCs w:val="20"/>
              </w:rPr>
              <w:t>Bacteroidetes</w:t>
            </w:r>
            <w:proofErr w:type="spellEnd"/>
            <w:r>
              <w:rPr>
                <w:sz w:val="20"/>
                <w:szCs w:val="20"/>
              </w:rPr>
              <w:t xml:space="preserve"> driving metabolic shifts. Tryptophan supplementation partially reversed these effects in mice. Similar microbiota and metabolic disruptions in humans linked long-term antibiotic use to elevated cardiovascular risk.</w:t>
            </w:r>
          </w:p>
        </w:tc>
        <w:tc>
          <w:tcPr>
            <w:tcW w:w="1275" w:type="dxa"/>
          </w:tcPr>
          <w:p w:rsidR="00964681" w:rsidRDefault="00F91DD0">
            <w:pPr>
              <w:rPr>
                <w:sz w:val="20"/>
                <w:szCs w:val="20"/>
              </w:rPr>
            </w:pPr>
            <w:hyperlink r:id="rId11">
              <w:r w:rsidR="006572E6">
                <w:rPr>
                  <w:color w:val="0563C1"/>
                  <w:sz w:val="20"/>
                  <w:szCs w:val="20"/>
                  <w:u w:val="single"/>
                </w:rPr>
                <w:t>https://doi.org/10.1016/j.molmet.2020.100976</w:t>
              </w:r>
            </w:hyperlink>
            <w:r w:rsidR="006572E6">
              <w:rPr>
                <w:sz w:val="20"/>
                <w:szCs w:val="20"/>
              </w:rPr>
              <w:t xml:space="preserve">. </w:t>
            </w:r>
          </w:p>
        </w:tc>
      </w:tr>
    </w:tbl>
    <w:p w:rsidR="00964681" w:rsidRDefault="00964681"/>
    <w:p w:rsidR="00964681" w:rsidRDefault="00964681"/>
    <w:sectPr w:rsidR="00964681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81"/>
    <w:rsid w:val="006572E6"/>
    <w:rsid w:val="00964681"/>
    <w:rsid w:val="00F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F1A6"/>
  <w15:docId w15:val="{4B60049F-DEB0-4476-82CA-263DACEF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A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6D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D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9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42F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normaltextrun">
    <w:name w:val="normaltextrun"/>
    <w:basedOn w:val="DefaultParagraphFont"/>
    <w:rsid w:val="00F91DD0"/>
  </w:style>
  <w:style w:type="character" w:customStyle="1" w:styleId="eop">
    <w:name w:val="eop"/>
    <w:basedOn w:val="DefaultParagraphFont"/>
    <w:rsid w:val="00F9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cvr/cvae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86/s12872-024-03804-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89/fcimb.2024.1395716" TargetMode="External"/><Relationship Id="rId11" Type="http://schemas.openxmlformats.org/officeDocument/2006/relationships/hyperlink" Target="https://doi.org/10.1016/j.molmet.2020.100976" TargetMode="External"/><Relationship Id="rId5" Type="http://schemas.openxmlformats.org/officeDocument/2006/relationships/hyperlink" Target="https://doi.org/10.1161/hypertensionaha.120.15885" TargetMode="External"/><Relationship Id="rId10" Type="http://schemas.openxmlformats.org/officeDocument/2006/relationships/hyperlink" Target="https://doi.org/10.7150%2Fthno.55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ebiom.2021.10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weUHe6W0h2lMsVi7je08w5KmQ==">CgMxLjA4AHIhMUdhaERPc1Ztb1VMVkc2NlkxdmV4SkZYZzA0aFBRcmxf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Koushik Sen</dc:creator>
  <cp:lastModifiedBy>Majumder, Suravi</cp:lastModifiedBy>
  <cp:revision>3</cp:revision>
  <dcterms:created xsi:type="dcterms:W3CDTF">2024-10-03T22:46:00Z</dcterms:created>
  <dcterms:modified xsi:type="dcterms:W3CDTF">2024-10-03T22:48:00Z</dcterms:modified>
</cp:coreProperties>
</file>