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Regression coefficients and confidence intervals in two simple moderation models, computed separately for anodal and sham conditions</w:t>
      </w:r>
    </w:p>
    <w:p w:rsidR="00000000" w:rsidDel="00000000" w:rsidP="00000000" w:rsidRDefault="00000000" w:rsidRPr="00000000" w14:paraId="00000002">
      <w:pPr>
        <w:widowControl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0"/>
        <w:gridCol w:w="1320"/>
        <w:gridCol w:w="1185"/>
        <w:gridCol w:w="885"/>
        <w:gridCol w:w="750"/>
        <w:gridCol w:w="840"/>
        <w:gridCol w:w="975"/>
        <w:gridCol w:w="795"/>
        <w:gridCol w:w="690"/>
        <w:gridCol w:w="840"/>
        <w:tblGridChange w:id="0">
          <w:tblGrid>
            <w:gridCol w:w="1380"/>
            <w:gridCol w:w="1320"/>
            <w:gridCol w:w="1185"/>
            <w:gridCol w:w="885"/>
            <w:gridCol w:w="750"/>
            <w:gridCol w:w="840"/>
            <w:gridCol w:w="975"/>
            <w:gridCol w:w="795"/>
            <w:gridCol w:w="690"/>
            <w:gridCol w:w="84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10"/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Anodal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condition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Variable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Predictor variable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COEFF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t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LLCI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ULCI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2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Attentional bias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PTG 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-0.01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0.13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-1.60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-0.54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0.08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0.13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0.61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7.26</w:t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Int_1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-2.46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gridSpan w:val="10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Conditional effects of PTG at values of approach motivation as moderator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-2.20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-3.31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gridSpan w:val="10"/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Sham condition</w:t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Attentional bias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PTG 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-0.57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0.30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-1.90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-1.22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0.07I 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0.07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0.29</w:t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1.89</w:t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Int_1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-1.32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LLCI, lower level of the 95 % confidence interval; ULCI, upper level of the 95 % confidence interval; SE, Standard Error.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7B04B8"/>
    <w:pPr>
      <w:spacing w:line="276" w:lineRule="auto"/>
    </w:pPr>
    <w:rPr>
      <w:rFonts w:ascii="Arial" w:cs="Arial" w:eastAsia="Arial" w:hAnsi="Arial"/>
      <w:kern w:val="0"/>
      <w:sz w:val="22"/>
      <w:szCs w:val="22"/>
      <w:lang w:val="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+ScZWGy2PG8uyeQZibI3kC5odg==">CgMxLjA4AHIhMUtBbWFBM2R1VTgwOEVxUUFYeUlFV3U0cWMzMEtjVVAy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2023-10-16T12:41:00Z</dcterms:created>
  <dc:creator>Yennifer Ravelo González</dc:creator>
</cp:coreProperties>
</file>