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65AF83" w14:textId="77777777" w:rsidR="00462298" w:rsidRPr="00462298" w:rsidRDefault="00462298" w:rsidP="00462298">
      <w:pPr>
        <w:pStyle w:val="MDPI11articletype"/>
      </w:pPr>
      <w:r w:rsidRPr="00462298">
        <w:t>Article</w:t>
      </w:r>
    </w:p>
    <w:p w14:paraId="210B27FB" w14:textId="77777777" w:rsidR="00462298" w:rsidRPr="00462298" w:rsidRDefault="00462298" w:rsidP="00462298">
      <w:pPr>
        <w:pStyle w:val="MDPI12title"/>
      </w:pPr>
      <w:proofErr w:type="spellStart"/>
      <w:r w:rsidRPr="00462298">
        <w:t>Pegylated</w:t>
      </w:r>
      <w:proofErr w:type="spellEnd"/>
      <w:r w:rsidRPr="00462298">
        <w:t xml:space="preserve"> carboxylic graphene oxide for controlled paclitaxel delivery to tumor cells: in vitro evaluation and cell studies</w:t>
      </w:r>
    </w:p>
    <w:p w14:paraId="44099788" w14:textId="28B7BD88" w:rsidR="00462298" w:rsidRPr="00462298" w:rsidRDefault="00462298" w:rsidP="00462298">
      <w:pPr>
        <w:pStyle w:val="MDPI13authornames"/>
      </w:pPr>
      <w:proofErr w:type="spellStart"/>
      <w:r w:rsidRPr="00462298">
        <w:t>Athina</w:t>
      </w:r>
      <w:proofErr w:type="spellEnd"/>
      <w:r w:rsidRPr="00462298">
        <w:t xml:space="preserve"> Angelopoulou</w:t>
      </w:r>
      <w:r w:rsidRPr="00462298">
        <w:rPr>
          <w:vertAlign w:val="superscript"/>
        </w:rPr>
        <w:t>1</w:t>
      </w:r>
      <w:r w:rsidRPr="00462298">
        <w:t xml:space="preserve">, </w:t>
      </w:r>
      <w:proofErr w:type="spellStart"/>
      <w:r w:rsidRPr="00462298">
        <w:t>Myria</w:t>
      </w:r>
      <w:proofErr w:type="spellEnd"/>
      <w:r w:rsidRPr="00462298">
        <w:t xml:space="preserve"> Papachristodoulou</w:t>
      </w:r>
      <w:r w:rsidRPr="00462298">
        <w:rPr>
          <w:vertAlign w:val="superscript"/>
        </w:rPr>
        <w:t>1</w:t>
      </w:r>
      <w:r w:rsidRPr="00462298">
        <w:t xml:space="preserve">, </w:t>
      </w:r>
      <w:proofErr w:type="spellStart"/>
      <w:r w:rsidRPr="00462298">
        <w:t>Efstathia</w:t>
      </w:r>
      <w:proofErr w:type="spellEnd"/>
      <w:r w:rsidRPr="00462298">
        <w:t xml:space="preserve"> Voulgari</w:t>
      </w:r>
      <w:r w:rsidRPr="00462298">
        <w:rPr>
          <w:vertAlign w:val="superscript"/>
        </w:rPr>
        <w:t>1</w:t>
      </w:r>
      <w:r w:rsidRPr="00462298">
        <w:t>, Andreas Mouiki</w:t>
      </w:r>
      <w:r w:rsidRPr="00462298">
        <w:rPr>
          <w:vertAlign w:val="superscript"/>
        </w:rPr>
        <w:t>1</w:t>
      </w:r>
      <w:r w:rsidRPr="00462298">
        <w:t xml:space="preserve">, </w:t>
      </w:r>
      <w:proofErr w:type="spellStart"/>
      <w:r w:rsidRPr="00462298">
        <w:t>Panagiota</w:t>
      </w:r>
      <w:proofErr w:type="spellEnd"/>
      <w:r w:rsidRPr="00462298">
        <w:t xml:space="preserve"> Zygouri</w:t>
      </w:r>
      <w:r w:rsidRPr="00462298">
        <w:rPr>
          <w:vertAlign w:val="superscript"/>
        </w:rPr>
        <w:t>2</w:t>
      </w:r>
      <w:r w:rsidRPr="00462298">
        <w:t xml:space="preserve">, </w:t>
      </w:r>
      <w:proofErr w:type="spellStart"/>
      <w:r w:rsidR="00D87123" w:rsidRPr="00D87123">
        <w:t>Dimitrios</w:t>
      </w:r>
      <w:proofErr w:type="spellEnd"/>
      <w:r w:rsidR="00D87123" w:rsidRPr="00D87123">
        <w:t xml:space="preserve"> P. Gournis</w:t>
      </w:r>
      <w:bookmarkStart w:id="0" w:name="_GoBack"/>
      <w:bookmarkEnd w:id="0"/>
      <w:r w:rsidRPr="00462298">
        <w:rPr>
          <w:vertAlign w:val="superscript"/>
        </w:rPr>
        <w:t>3,4</w:t>
      </w:r>
      <w:r w:rsidRPr="00462298">
        <w:t>, and Konstantinos Avgoustakis</w:t>
      </w:r>
      <w:r w:rsidRPr="00462298">
        <w:rPr>
          <w:vertAlign w:val="superscript"/>
        </w:rPr>
        <w:t>1</w:t>
      </w:r>
      <w:r w:rsidRPr="00462298">
        <w:t>*</w:t>
      </w:r>
    </w:p>
    <w:tbl>
      <w:tblPr>
        <w:tblpPr w:leftFromText="198" w:rightFromText="198" w:vertAnchor="page" w:horzAnchor="margin" w:tblpY="11276"/>
        <w:tblW w:w="2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462298" w:rsidRPr="00462298" w14:paraId="41DA98F0" w14:textId="77777777" w:rsidTr="00062CCB">
        <w:tc>
          <w:tcPr>
            <w:tcW w:w="2410" w:type="dxa"/>
            <w:shd w:val="clear" w:color="auto" w:fill="auto"/>
          </w:tcPr>
          <w:p w14:paraId="1419EE60" w14:textId="77D22378" w:rsidR="00462298" w:rsidRPr="00462298" w:rsidRDefault="00462298" w:rsidP="00062CCB">
            <w:pPr>
              <w:pStyle w:val="MDPI72Copyright"/>
              <w:rPr>
                <w:rFonts w:eastAsia="DengXian"/>
                <w:lang w:bidi="en-US"/>
              </w:rPr>
            </w:pPr>
          </w:p>
        </w:tc>
      </w:tr>
    </w:tbl>
    <w:p w14:paraId="7A2A14A3" w14:textId="77777777" w:rsidR="00462298" w:rsidRPr="00462298" w:rsidRDefault="00462298" w:rsidP="00462298">
      <w:pPr>
        <w:pStyle w:val="MDPI16affiliation"/>
      </w:pPr>
      <w:r w:rsidRPr="00462298">
        <w:rPr>
          <w:vertAlign w:val="superscript"/>
        </w:rPr>
        <w:t>1</w:t>
      </w:r>
      <w:r w:rsidRPr="00462298">
        <w:tab/>
        <w:t xml:space="preserve">Department of Pharmacy, Medical School, University of </w:t>
      </w:r>
      <w:proofErr w:type="spellStart"/>
      <w:r w:rsidRPr="00462298">
        <w:t>Patras</w:t>
      </w:r>
      <w:proofErr w:type="spellEnd"/>
      <w:r w:rsidRPr="00462298">
        <w:t xml:space="preserve">, 26 500 </w:t>
      </w:r>
      <w:proofErr w:type="spellStart"/>
      <w:r w:rsidRPr="00462298">
        <w:t>Patras</w:t>
      </w:r>
      <w:proofErr w:type="spellEnd"/>
      <w:r w:rsidRPr="00462298">
        <w:t>, Greece</w:t>
      </w:r>
    </w:p>
    <w:p w14:paraId="3B66AF2B" w14:textId="77777777" w:rsidR="00462298" w:rsidRPr="00462298" w:rsidRDefault="00462298" w:rsidP="00462298">
      <w:pPr>
        <w:pStyle w:val="MDPI16affiliation"/>
      </w:pPr>
      <w:r w:rsidRPr="00462298">
        <w:rPr>
          <w:vertAlign w:val="superscript"/>
        </w:rPr>
        <w:t>2</w:t>
      </w:r>
      <w:r w:rsidRPr="00462298">
        <w:tab/>
        <w:t>Department of Materials Science and Engineering, University of Ioannina, 45110 Ioannina, Greece</w:t>
      </w:r>
    </w:p>
    <w:p w14:paraId="6D5AEB7F" w14:textId="77777777" w:rsidR="00462298" w:rsidRPr="00462298" w:rsidRDefault="00462298" w:rsidP="00462298">
      <w:pPr>
        <w:pStyle w:val="MDPI16affiliation"/>
      </w:pPr>
      <w:r w:rsidRPr="00462298">
        <w:rPr>
          <w:vertAlign w:val="superscript"/>
        </w:rPr>
        <w:t>3</w:t>
      </w:r>
      <w:r w:rsidRPr="00462298">
        <w:tab/>
        <w:t>School of Chemical and Environmental Engineering, Technical University of Crete, 73100 Chania, Greece</w:t>
      </w:r>
    </w:p>
    <w:p w14:paraId="54095009" w14:textId="77777777" w:rsidR="00462298" w:rsidRPr="00462298" w:rsidRDefault="00462298" w:rsidP="00462298">
      <w:pPr>
        <w:pStyle w:val="MDPI16affiliation"/>
      </w:pPr>
      <w:r w:rsidRPr="00462298">
        <w:rPr>
          <w:vertAlign w:val="superscript"/>
        </w:rPr>
        <w:t>4</w:t>
      </w:r>
      <w:r w:rsidRPr="00462298">
        <w:tab/>
        <w:t xml:space="preserve">Institute of </w:t>
      </w:r>
      <w:proofErr w:type="spellStart"/>
      <w:r w:rsidRPr="00462298">
        <w:t>GeoEnergy</w:t>
      </w:r>
      <w:proofErr w:type="spellEnd"/>
      <w:r w:rsidRPr="00462298">
        <w:t>, Foundation for Research and Technology-Hellas, 73100 Chania, Greece</w:t>
      </w:r>
    </w:p>
    <w:p w14:paraId="5154F164" w14:textId="25689DCB" w:rsidR="00462298" w:rsidRPr="00462298" w:rsidRDefault="00462298" w:rsidP="00462298">
      <w:pPr>
        <w:pStyle w:val="MDPI16affiliation"/>
      </w:pPr>
      <w:r w:rsidRPr="00462298">
        <w:rPr>
          <w:b/>
        </w:rPr>
        <w:t>*</w:t>
      </w:r>
      <w:r w:rsidRPr="00462298">
        <w:tab/>
        <w:t xml:space="preserve">Correspondence: Konstantinos </w:t>
      </w:r>
      <w:proofErr w:type="spellStart"/>
      <w:r w:rsidRPr="00462298">
        <w:t>Avgoustakis</w:t>
      </w:r>
      <w:proofErr w:type="spellEnd"/>
      <w:r w:rsidRPr="00462298">
        <w:t xml:space="preserve">, Department of Pharmacy, University of </w:t>
      </w:r>
      <w:proofErr w:type="spellStart"/>
      <w:r w:rsidRPr="00462298">
        <w:t>Patras</w:t>
      </w:r>
      <w:proofErr w:type="spellEnd"/>
      <w:r w:rsidRPr="00462298">
        <w:t xml:space="preserve">, Rio 26504, Greece, Email: </w:t>
      </w:r>
      <w:hyperlink r:id="rId6" w:history="1">
        <w:r w:rsidRPr="00462298">
          <w:rPr>
            <w:rStyle w:val="-"/>
          </w:rPr>
          <w:t>avgoust@upatras.gr</w:t>
        </w:r>
      </w:hyperlink>
      <w:r w:rsidRPr="00462298">
        <w:t>, Tel.: 00302610-962317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4"/>
        <w:gridCol w:w="456"/>
      </w:tblGrid>
      <w:tr w:rsidR="002178BB" w:rsidRPr="00462298" w14:paraId="7818D906" w14:textId="77777777" w:rsidTr="00462298">
        <w:trPr>
          <w:trHeight w:hRule="exact" w:val="556"/>
        </w:trPr>
        <w:tc>
          <w:tcPr>
            <w:tcW w:w="8904" w:type="dxa"/>
          </w:tcPr>
          <w:p w14:paraId="23C70C76" w14:textId="713F7415" w:rsidR="002178BB" w:rsidRPr="00462298" w:rsidRDefault="002178BB" w:rsidP="002178BB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Synthetic procedure of GO</w:t>
            </w:r>
          </w:p>
        </w:tc>
        <w:tc>
          <w:tcPr>
            <w:tcW w:w="456" w:type="dxa"/>
          </w:tcPr>
          <w:p w14:paraId="2635C6D0" w14:textId="77777777" w:rsidR="002178BB" w:rsidRPr="00462298" w:rsidRDefault="002178BB" w:rsidP="002178BB">
            <w:pPr>
              <w:tabs>
                <w:tab w:val="left" w:pos="4710"/>
              </w:tabs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2</w:t>
            </w:r>
          </w:p>
        </w:tc>
      </w:tr>
      <w:tr w:rsidR="002178BB" w:rsidRPr="00462298" w14:paraId="721BF4CA" w14:textId="77777777" w:rsidTr="00462298">
        <w:trPr>
          <w:trHeight w:hRule="exact" w:val="556"/>
        </w:trPr>
        <w:tc>
          <w:tcPr>
            <w:tcW w:w="8904" w:type="dxa"/>
          </w:tcPr>
          <w:p w14:paraId="2E5CF2E0" w14:textId="1CD1373F" w:rsidR="002178BB" w:rsidRPr="00462298" w:rsidRDefault="002178BB" w:rsidP="002178BB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Synthetic procedure of CGO</w:t>
            </w:r>
          </w:p>
        </w:tc>
        <w:tc>
          <w:tcPr>
            <w:tcW w:w="456" w:type="dxa"/>
          </w:tcPr>
          <w:p w14:paraId="3EDE52D1" w14:textId="6FABFF69" w:rsidR="002178BB" w:rsidRPr="00462298" w:rsidRDefault="005235C0" w:rsidP="002178BB">
            <w:pPr>
              <w:tabs>
                <w:tab w:val="left" w:pos="4710"/>
              </w:tabs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2</w:t>
            </w:r>
          </w:p>
        </w:tc>
      </w:tr>
      <w:tr w:rsidR="002178BB" w:rsidRPr="00462298" w14:paraId="0015A265" w14:textId="77777777" w:rsidTr="00462298">
        <w:trPr>
          <w:trHeight w:hRule="exact" w:val="556"/>
        </w:trPr>
        <w:tc>
          <w:tcPr>
            <w:tcW w:w="8904" w:type="dxa"/>
          </w:tcPr>
          <w:p w14:paraId="56D5FC42" w14:textId="338E2847" w:rsidR="002178BB" w:rsidRPr="00462298" w:rsidRDefault="005235C0" w:rsidP="002178BB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Characterization of GO and CGO</w:t>
            </w:r>
          </w:p>
        </w:tc>
        <w:tc>
          <w:tcPr>
            <w:tcW w:w="456" w:type="dxa"/>
          </w:tcPr>
          <w:p w14:paraId="6A3B4D69" w14:textId="34725442" w:rsidR="002178BB" w:rsidRPr="00462298" w:rsidRDefault="005235C0" w:rsidP="002178BB">
            <w:pPr>
              <w:tabs>
                <w:tab w:val="left" w:pos="4710"/>
              </w:tabs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2</w:t>
            </w:r>
          </w:p>
        </w:tc>
      </w:tr>
      <w:tr w:rsidR="002178BB" w:rsidRPr="00462298" w14:paraId="4CEBF8BD" w14:textId="77777777" w:rsidTr="00462298">
        <w:trPr>
          <w:trHeight w:hRule="exact" w:val="556"/>
        </w:trPr>
        <w:tc>
          <w:tcPr>
            <w:tcW w:w="8904" w:type="dxa"/>
          </w:tcPr>
          <w:p w14:paraId="732DFDBF" w14:textId="7F69AC37" w:rsidR="002178BB" w:rsidRPr="00462298" w:rsidRDefault="002178BB" w:rsidP="005235C0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 xml:space="preserve">Figure </w:t>
            </w:r>
            <w:r w:rsidR="005235C0"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S4</w:t>
            </w: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 xml:space="preserve">. </w:t>
            </w:r>
            <w:r w:rsidRPr="00462298">
              <w:rPr>
                <w:rFonts w:ascii="Palatino Linotype" w:eastAsia="Calibri" w:hAnsi="Palatino Linotype" w:cs="Times New Roman"/>
                <w:sz w:val="20"/>
                <w:szCs w:val="24"/>
                <w:vertAlign w:val="superscript"/>
              </w:rPr>
              <w:t>1</w:t>
            </w: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H NMR Spectra</w:t>
            </w:r>
          </w:p>
        </w:tc>
        <w:tc>
          <w:tcPr>
            <w:tcW w:w="456" w:type="dxa"/>
          </w:tcPr>
          <w:p w14:paraId="466C89B7" w14:textId="04ACDB5E" w:rsidR="002178BB" w:rsidRPr="00462298" w:rsidRDefault="00271B75" w:rsidP="002178BB">
            <w:pPr>
              <w:tabs>
                <w:tab w:val="left" w:pos="4710"/>
              </w:tabs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>
              <w:rPr>
                <w:rFonts w:ascii="Palatino Linotype" w:eastAsia="Calibri" w:hAnsi="Palatino Linotype" w:cs="Times New Roman"/>
                <w:sz w:val="20"/>
                <w:szCs w:val="24"/>
              </w:rPr>
              <w:t>5</w:t>
            </w:r>
          </w:p>
        </w:tc>
      </w:tr>
      <w:tr w:rsidR="002178BB" w:rsidRPr="00462298" w14:paraId="15CEED0F" w14:textId="77777777" w:rsidTr="00462298">
        <w:trPr>
          <w:trHeight w:hRule="exact" w:val="510"/>
        </w:trPr>
        <w:tc>
          <w:tcPr>
            <w:tcW w:w="8904" w:type="dxa"/>
          </w:tcPr>
          <w:p w14:paraId="6C4AB59C" w14:textId="597A2C00" w:rsidR="002178BB" w:rsidRPr="00462298" w:rsidRDefault="002178BB" w:rsidP="009C406C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 xml:space="preserve">Figure </w:t>
            </w:r>
            <w:r w:rsidR="009C406C"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S5</w:t>
            </w: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 xml:space="preserve">. TGA of </w:t>
            </w:r>
            <w:proofErr w:type="spellStart"/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nCGO</w:t>
            </w:r>
            <w:proofErr w:type="spellEnd"/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-PEG formulations</w:t>
            </w:r>
          </w:p>
        </w:tc>
        <w:tc>
          <w:tcPr>
            <w:tcW w:w="456" w:type="dxa"/>
          </w:tcPr>
          <w:p w14:paraId="09261A63" w14:textId="71751627" w:rsidR="002178BB" w:rsidRPr="00462298" w:rsidRDefault="00271B75" w:rsidP="002178BB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>
              <w:rPr>
                <w:rFonts w:ascii="Palatino Linotype" w:eastAsia="Calibri" w:hAnsi="Palatino Linotype" w:cs="Times New Roman"/>
                <w:sz w:val="20"/>
                <w:szCs w:val="24"/>
              </w:rPr>
              <w:t>6</w:t>
            </w:r>
          </w:p>
        </w:tc>
      </w:tr>
      <w:tr w:rsidR="002178BB" w:rsidRPr="00462298" w14:paraId="088F45E1" w14:textId="77777777" w:rsidTr="00462298">
        <w:trPr>
          <w:trHeight w:hRule="exact" w:val="510"/>
        </w:trPr>
        <w:tc>
          <w:tcPr>
            <w:tcW w:w="8904" w:type="dxa"/>
          </w:tcPr>
          <w:p w14:paraId="3E69088E" w14:textId="6D7E08A5" w:rsidR="002178BB" w:rsidRPr="00462298" w:rsidRDefault="009C406C" w:rsidP="002178BB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Figure S6</w:t>
            </w:r>
            <w:r w:rsidR="002178BB"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 xml:space="preserve">. TEM of </w:t>
            </w:r>
            <w:proofErr w:type="spellStart"/>
            <w:r w:rsidR="002178BB"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nCGO</w:t>
            </w:r>
            <w:proofErr w:type="spellEnd"/>
            <w:r w:rsidR="002178BB"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-PEG formulations</w:t>
            </w:r>
          </w:p>
        </w:tc>
        <w:tc>
          <w:tcPr>
            <w:tcW w:w="456" w:type="dxa"/>
          </w:tcPr>
          <w:p w14:paraId="5E79FA96" w14:textId="7E4A1C22" w:rsidR="002178BB" w:rsidRPr="00462298" w:rsidRDefault="00271B75" w:rsidP="002178BB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>
              <w:rPr>
                <w:rFonts w:ascii="Palatino Linotype" w:eastAsia="Calibri" w:hAnsi="Palatino Linotype" w:cs="Times New Roman"/>
                <w:sz w:val="20"/>
                <w:szCs w:val="24"/>
              </w:rPr>
              <w:t>7</w:t>
            </w:r>
          </w:p>
        </w:tc>
      </w:tr>
      <w:tr w:rsidR="002178BB" w:rsidRPr="00462298" w14:paraId="577A48C6" w14:textId="77777777" w:rsidTr="00462298">
        <w:trPr>
          <w:trHeight w:hRule="exact" w:val="510"/>
        </w:trPr>
        <w:tc>
          <w:tcPr>
            <w:tcW w:w="8904" w:type="dxa"/>
          </w:tcPr>
          <w:p w14:paraId="7B78861A" w14:textId="6A9F71F9" w:rsidR="002178BB" w:rsidRPr="00462298" w:rsidRDefault="002178BB" w:rsidP="009C406C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 xml:space="preserve">Figure </w:t>
            </w:r>
            <w:r w:rsidR="009C406C"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S7</w:t>
            </w: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. Stability of Main Peak and PDI</w:t>
            </w:r>
          </w:p>
        </w:tc>
        <w:tc>
          <w:tcPr>
            <w:tcW w:w="456" w:type="dxa"/>
          </w:tcPr>
          <w:p w14:paraId="59BD8A94" w14:textId="72950F36" w:rsidR="002178BB" w:rsidRPr="00462298" w:rsidRDefault="00271B75" w:rsidP="002178BB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>
              <w:rPr>
                <w:rFonts w:ascii="Palatino Linotype" w:eastAsia="Calibri" w:hAnsi="Palatino Linotype" w:cs="Times New Roman"/>
                <w:sz w:val="20"/>
                <w:szCs w:val="24"/>
              </w:rPr>
              <w:t>8</w:t>
            </w:r>
          </w:p>
        </w:tc>
      </w:tr>
      <w:tr w:rsidR="002178BB" w:rsidRPr="00462298" w14:paraId="66D477FA" w14:textId="77777777" w:rsidTr="00462298">
        <w:trPr>
          <w:trHeight w:hRule="exact" w:val="510"/>
        </w:trPr>
        <w:tc>
          <w:tcPr>
            <w:tcW w:w="8904" w:type="dxa"/>
          </w:tcPr>
          <w:p w14:paraId="0946BB2F" w14:textId="75E01243" w:rsidR="002178BB" w:rsidRPr="00462298" w:rsidRDefault="009C406C" w:rsidP="002178BB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Figure S8</w:t>
            </w:r>
            <w:r w:rsidR="002178BB"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 xml:space="preserve">. Toxicity of </w:t>
            </w:r>
            <w:proofErr w:type="spellStart"/>
            <w:r w:rsidR="002178BB"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nCGO</w:t>
            </w:r>
            <w:proofErr w:type="spellEnd"/>
            <w:r w:rsidR="002178BB"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 xml:space="preserve">-PEG(10 </w:t>
            </w:r>
            <w:proofErr w:type="spellStart"/>
            <w:r w:rsidR="002178BB"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kDa</w:t>
            </w:r>
            <w:proofErr w:type="spellEnd"/>
            <w:r w:rsidR="002178BB"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) at 5h</w:t>
            </w:r>
          </w:p>
        </w:tc>
        <w:tc>
          <w:tcPr>
            <w:tcW w:w="456" w:type="dxa"/>
          </w:tcPr>
          <w:p w14:paraId="7987B916" w14:textId="4CBC0F5E" w:rsidR="002178BB" w:rsidRPr="00462298" w:rsidRDefault="00271B75" w:rsidP="002178BB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>
              <w:rPr>
                <w:rFonts w:ascii="Palatino Linotype" w:eastAsia="Calibri" w:hAnsi="Palatino Linotype" w:cs="Times New Roman"/>
                <w:sz w:val="20"/>
                <w:szCs w:val="24"/>
              </w:rPr>
              <w:t>8</w:t>
            </w:r>
          </w:p>
        </w:tc>
      </w:tr>
      <w:tr w:rsidR="005235C0" w:rsidRPr="00462298" w14:paraId="1EE70A76" w14:textId="77777777" w:rsidTr="00462298">
        <w:trPr>
          <w:trHeight w:hRule="exact" w:val="510"/>
        </w:trPr>
        <w:tc>
          <w:tcPr>
            <w:tcW w:w="8904" w:type="dxa"/>
          </w:tcPr>
          <w:p w14:paraId="62A3EA20" w14:textId="5D3BFCD1" w:rsidR="005235C0" w:rsidRPr="00462298" w:rsidRDefault="005235C0" w:rsidP="002178BB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 w:rsidRPr="00462298">
              <w:rPr>
                <w:rFonts w:ascii="Palatino Linotype" w:eastAsia="Calibri" w:hAnsi="Palatino Linotype" w:cs="Times New Roman"/>
                <w:sz w:val="20"/>
                <w:szCs w:val="24"/>
              </w:rPr>
              <w:t>References</w:t>
            </w:r>
          </w:p>
        </w:tc>
        <w:tc>
          <w:tcPr>
            <w:tcW w:w="456" w:type="dxa"/>
          </w:tcPr>
          <w:p w14:paraId="4559BE51" w14:textId="7EBEEFA7" w:rsidR="005235C0" w:rsidRPr="00462298" w:rsidRDefault="00271B75" w:rsidP="009C406C">
            <w:pPr>
              <w:spacing w:before="240" w:after="240" w:line="276" w:lineRule="auto"/>
              <w:jc w:val="both"/>
              <w:rPr>
                <w:rFonts w:ascii="Palatino Linotype" w:eastAsia="Calibri" w:hAnsi="Palatino Linotype" w:cs="Times New Roman"/>
                <w:sz w:val="20"/>
                <w:szCs w:val="24"/>
              </w:rPr>
            </w:pPr>
            <w:r>
              <w:rPr>
                <w:rFonts w:ascii="Palatino Linotype" w:eastAsia="Calibri" w:hAnsi="Palatino Linotype" w:cs="Times New Roman"/>
                <w:sz w:val="20"/>
                <w:szCs w:val="24"/>
              </w:rPr>
              <w:t>9</w:t>
            </w:r>
          </w:p>
        </w:tc>
      </w:tr>
    </w:tbl>
    <w:p w14:paraId="448D2427" w14:textId="06596EBD" w:rsidR="002178BB" w:rsidRPr="00462298" w:rsidRDefault="002178BB" w:rsidP="005235C0">
      <w:pPr>
        <w:tabs>
          <w:tab w:val="left" w:pos="1957"/>
        </w:tabs>
        <w:jc w:val="both"/>
        <w:rPr>
          <w:rFonts w:ascii="Palatino Linotype" w:hAnsi="Palatino Linotype" w:cs="Times New Roman"/>
          <w:b/>
          <w:bCs/>
        </w:rPr>
      </w:pPr>
    </w:p>
    <w:p w14:paraId="58890694" w14:textId="4FBE538C" w:rsidR="002178BB" w:rsidRPr="00462298" w:rsidRDefault="002178BB" w:rsidP="00CB0C68">
      <w:pPr>
        <w:jc w:val="both"/>
        <w:rPr>
          <w:rFonts w:ascii="Palatino Linotype" w:hAnsi="Palatino Linotype" w:cs="Times New Roman"/>
          <w:b/>
          <w:bCs/>
        </w:rPr>
      </w:pPr>
    </w:p>
    <w:p w14:paraId="53981420" w14:textId="77777777" w:rsidR="00462298" w:rsidRPr="00462298" w:rsidRDefault="00462298" w:rsidP="00CB0C68">
      <w:pPr>
        <w:jc w:val="both"/>
        <w:rPr>
          <w:rFonts w:ascii="Palatino Linotype" w:hAnsi="Palatino Linotype" w:cs="Times New Roman"/>
          <w:b/>
          <w:bCs/>
        </w:rPr>
      </w:pPr>
    </w:p>
    <w:p w14:paraId="53C579C5" w14:textId="59DD4B43" w:rsidR="002178BB" w:rsidRPr="00462298" w:rsidRDefault="002178BB" w:rsidP="00CB0C68">
      <w:pPr>
        <w:jc w:val="both"/>
        <w:rPr>
          <w:rFonts w:ascii="Palatino Linotype" w:hAnsi="Palatino Linotype" w:cs="Times New Roman"/>
          <w:b/>
          <w:bCs/>
        </w:rPr>
      </w:pPr>
    </w:p>
    <w:p w14:paraId="199D3B3C" w14:textId="77777777" w:rsidR="002178BB" w:rsidRPr="00462298" w:rsidRDefault="002178BB" w:rsidP="00CB0C68">
      <w:pPr>
        <w:jc w:val="both"/>
        <w:rPr>
          <w:rFonts w:ascii="Palatino Linotype" w:hAnsi="Palatino Linotype" w:cs="Times New Roman"/>
          <w:b/>
          <w:bCs/>
        </w:rPr>
      </w:pPr>
    </w:p>
    <w:p w14:paraId="181C5E40" w14:textId="77777777" w:rsidR="002178BB" w:rsidRPr="00462298" w:rsidRDefault="002178BB" w:rsidP="00CB0C68">
      <w:pPr>
        <w:jc w:val="both"/>
        <w:rPr>
          <w:rFonts w:ascii="Palatino Linotype" w:hAnsi="Palatino Linotype" w:cs="Times New Roman"/>
          <w:b/>
          <w:bCs/>
        </w:rPr>
      </w:pPr>
    </w:p>
    <w:p w14:paraId="69E2CFD4" w14:textId="2BE0A874" w:rsidR="00F6064D" w:rsidRPr="00462298" w:rsidRDefault="00286081" w:rsidP="00462298">
      <w:pPr>
        <w:spacing w:line="240" w:lineRule="auto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  <w:r w:rsidRPr="00462298">
        <w:rPr>
          <w:rFonts w:ascii="Palatino Linotype" w:hAnsi="Palatino Linotype" w:cs="Times New Roman"/>
          <w:b/>
          <w:bCs/>
          <w:sz w:val="20"/>
          <w:szCs w:val="20"/>
        </w:rPr>
        <w:lastRenderedPageBreak/>
        <w:t>Synthetic procedure of GO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: </w:t>
      </w:r>
      <w:r w:rsidR="00377A25" w:rsidRPr="00462298">
        <w:rPr>
          <w:rFonts w:ascii="Palatino Linotype" w:hAnsi="Palatino Linotype" w:cs="Times New Roman"/>
          <w:sz w:val="20"/>
          <w:szCs w:val="20"/>
        </w:rPr>
        <w:t>The oxidation of graphite was performed by adding 5 g of powdered graphite (</w:t>
      </w:r>
      <w:proofErr w:type="spellStart"/>
      <w:r w:rsidR="00377A25" w:rsidRPr="00462298">
        <w:rPr>
          <w:rFonts w:ascii="Palatino Linotype" w:hAnsi="Palatino Linotype" w:cs="Times New Roman"/>
          <w:sz w:val="20"/>
          <w:szCs w:val="20"/>
        </w:rPr>
        <w:t>purum</w:t>
      </w:r>
      <w:proofErr w:type="spellEnd"/>
      <w:r w:rsidR="00377A25" w:rsidRPr="00462298">
        <w:rPr>
          <w:rFonts w:ascii="Palatino Linotype" w:hAnsi="Palatino Linotype" w:cs="Times New Roman"/>
          <w:sz w:val="20"/>
          <w:szCs w:val="20"/>
        </w:rPr>
        <w:t xml:space="preserve">, powder ≤ 0.2 mm, </w:t>
      </w:r>
      <w:proofErr w:type="spellStart"/>
      <w:r w:rsidR="00377A25" w:rsidRPr="00462298">
        <w:rPr>
          <w:rFonts w:ascii="Palatino Linotype" w:hAnsi="Palatino Linotype" w:cs="Times New Roman"/>
          <w:sz w:val="20"/>
          <w:szCs w:val="20"/>
        </w:rPr>
        <w:t>Fluka</w:t>
      </w:r>
      <w:proofErr w:type="spellEnd"/>
      <w:r w:rsidR="00377A25" w:rsidRPr="00462298">
        <w:rPr>
          <w:rFonts w:ascii="Palatino Linotype" w:hAnsi="Palatino Linotype" w:cs="Times New Roman"/>
          <w:sz w:val="20"/>
          <w:szCs w:val="20"/>
        </w:rPr>
        <w:t>) to a mixture of concentrated sulfuric acid and nitric acid (200 mL, 95–97 wt.% and 100 mL, 65 wt.%, respectively) while cooling in an ice-water bath for 20 min. After that, 100 g of powdered KClO</w:t>
      </w:r>
      <w:r w:rsidR="00377A25" w:rsidRPr="00462298">
        <w:rPr>
          <w:rFonts w:ascii="Palatino Linotype" w:hAnsi="Palatino Linotype" w:cs="Times New Roman"/>
          <w:sz w:val="20"/>
          <w:szCs w:val="20"/>
          <w:vertAlign w:val="subscript"/>
        </w:rPr>
        <w:t>3</w:t>
      </w:r>
      <w:r w:rsidR="00377A25" w:rsidRPr="00462298">
        <w:rPr>
          <w:rFonts w:ascii="Palatino Linotype" w:hAnsi="Palatino Linotype" w:cs="Times New Roman"/>
          <w:sz w:val="20"/>
          <w:szCs w:val="20"/>
        </w:rPr>
        <w:t> (</w:t>
      </w:r>
      <w:proofErr w:type="spellStart"/>
      <w:r w:rsidR="00377A25" w:rsidRPr="00462298">
        <w:rPr>
          <w:rFonts w:ascii="Palatino Linotype" w:hAnsi="Palatino Linotype" w:cs="Times New Roman"/>
          <w:sz w:val="20"/>
          <w:szCs w:val="20"/>
        </w:rPr>
        <w:t>Fluka</w:t>
      </w:r>
      <w:proofErr w:type="spellEnd"/>
      <w:r w:rsidR="00377A25" w:rsidRPr="00462298">
        <w:rPr>
          <w:rFonts w:ascii="Palatino Linotype" w:hAnsi="Palatino Linotype" w:cs="Times New Roman"/>
          <w:sz w:val="20"/>
          <w:szCs w:val="20"/>
        </w:rPr>
        <w:t>) was added to the mixture in small portions under vigorous stirring. The product was washed until the pH reached 6.0. Finally, the obtained sample was dried at room temperature.</w:t>
      </w:r>
    </w:p>
    <w:p w14:paraId="237329D1" w14:textId="79375190" w:rsidR="00286081" w:rsidRPr="00462298" w:rsidRDefault="00286081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  <w:r w:rsidRPr="00462298">
        <w:rPr>
          <w:rFonts w:ascii="Palatino Linotype" w:hAnsi="Palatino Linotype" w:cs="Times New Roman"/>
          <w:b/>
          <w:bCs/>
          <w:sz w:val="20"/>
          <w:szCs w:val="20"/>
        </w:rPr>
        <w:t>Synthetic procedure of CGO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: </w:t>
      </w:r>
      <w:r w:rsidRPr="00462298">
        <w:rPr>
          <w:rFonts w:ascii="Palatino Linotype" w:hAnsi="Palatino Linotype" w:cs="Times New Roman"/>
          <w:bCs/>
          <w:sz w:val="20"/>
          <w:szCs w:val="20"/>
          <w:lang w:val="en-GB"/>
        </w:rPr>
        <w:t>500 mg of graphite oxide were dispersed in 250 mL of distilled water by stirring. 25 g of ClCH</w:t>
      </w:r>
      <w:r w:rsidRPr="00462298">
        <w:rPr>
          <w:rFonts w:ascii="Palatino Linotype" w:hAnsi="Palatino Linotype" w:cs="Times New Roman"/>
          <w:bCs/>
          <w:sz w:val="20"/>
          <w:szCs w:val="20"/>
          <w:vertAlign w:val="subscript"/>
          <w:lang w:val="en-GB"/>
        </w:rPr>
        <w:t>2</w:t>
      </w:r>
      <w:r w:rsidRPr="00462298">
        <w:rPr>
          <w:rFonts w:ascii="Palatino Linotype" w:hAnsi="Palatino Linotype" w:cs="Times New Roman"/>
          <w:bCs/>
          <w:sz w:val="20"/>
          <w:szCs w:val="20"/>
          <w:lang w:val="en-GB"/>
        </w:rPr>
        <w:t xml:space="preserve">COOH and 30 mL of </w:t>
      </w:r>
      <w:proofErr w:type="spellStart"/>
      <w:r w:rsidRPr="00462298">
        <w:rPr>
          <w:rFonts w:ascii="Palatino Linotype" w:hAnsi="Palatino Linotype" w:cs="Times New Roman"/>
          <w:bCs/>
          <w:sz w:val="20"/>
          <w:szCs w:val="20"/>
          <w:lang w:val="en-GB"/>
        </w:rPr>
        <w:t>NaOH</w:t>
      </w:r>
      <w:proofErr w:type="spellEnd"/>
      <w:r w:rsidRPr="00462298">
        <w:rPr>
          <w:rFonts w:ascii="Palatino Linotype" w:hAnsi="Palatino Linotype" w:cs="Times New Roman"/>
          <w:bCs/>
          <w:sz w:val="20"/>
          <w:szCs w:val="20"/>
          <w:lang w:val="en-GB"/>
        </w:rPr>
        <w:t xml:space="preserve"> (1M) were then added and the mixture was sonicated for 3 h. After that time an aqueous </w:t>
      </w:r>
      <w:proofErr w:type="spellStart"/>
      <w:r w:rsidRPr="00462298">
        <w:rPr>
          <w:rFonts w:ascii="Palatino Linotype" w:hAnsi="Palatino Linotype" w:cs="Times New Roman"/>
          <w:bCs/>
          <w:sz w:val="20"/>
          <w:szCs w:val="20"/>
          <w:lang w:val="en-GB"/>
        </w:rPr>
        <w:t>HCl</w:t>
      </w:r>
      <w:proofErr w:type="spellEnd"/>
      <w:r w:rsidRPr="00462298">
        <w:rPr>
          <w:rFonts w:ascii="Palatino Linotype" w:hAnsi="Palatino Linotype" w:cs="Times New Roman"/>
          <w:bCs/>
          <w:sz w:val="20"/>
          <w:szCs w:val="20"/>
          <w:lang w:val="en-GB"/>
        </w:rPr>
        <w:t xml:space="preserve"> solution (1M) was added in small portions until the pH value reached 7. The resulting mixture was centrifuged and washed with distilled water before being dried at room temperature.</w:t>
      </w:r>
    </w:p>
    <w:p w14:paraId="003F5C48" w14:textId="30B38CCB" w:rsidR="00882623" w:rsidRPr="00462298" w:rsidRDefault="00462298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  <w:r w:rsidRPr="00462298">
        <w:rPr>
          <w:rFonts w:ascii="Palatino Linotype" w:hAnsi="Palatino Linotype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70854F1" wp14:editId="4A1EEB07">
            <wp:simplePos x="0" y="0"/>
            <wp:positionH relativeFrom="margin">
              <wp:posOffset>891540</wp:posOffset>
            </wp:positionH>
            <wp:positionV relativeFrom="paragraph">
              <wp:posOffset>1355725</wp:posOffset>
            </wp:positionV>
            <wp:extent cx="3931920" cy="3192780"/>
            <wp:effectExtent l="0" t="0" r="0" b="7620"/>
            <wp:wrapTopAndBottom/>
            <wp:docPr id="38056706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67066" name="Εικόνα 3805670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C0" w:rsidRPr="00462298">
        <w:rPr>
          <w:rFonts w:ascii="Palatino Linotype" w:hAnsi="Palatino Linotype" w:cs="Times New Roman"/>
          <w:b/>
          <w:bCs/>
          <w:sz w:val="20"/>
          <w:szCs w:val="20"/>
        </w:rPr>
        <w:t xml:space="preserve">Characterization of GO and CGO: </w:t>
      </w:r>
      <w:r w:rsidR="00774A84" w:rsidRPr="00462298">
        <w:rPr>
          <w:rFonts w:ascii="Palatino Linotype" w:hAnsi="Palatino Linotype" w:cs="Times New Roman"/>
          <w:sz w:val="20"/>
          <w:szCs w:val="20"/>
        </w:rPr>
        <w:t xml:space="preserve">XRD analysis was applied to justify the crystal structure of the synthesized GO and </w:t>
      </w:r>
      <w:r w:rsidR="000835F5" w:rsidRPr="00462298">
        <w:rPr>
          <w:rFonts w:ascii="Palatino Linotype" w:hAnsi="Palatino Linotype" w:cs="Times New Roman"/>
          <w:sz w:val="20"/>
          <w:szCs w:val="20"/>
        </w:rPr>
        <w:t>CGO</w:t>
      </w:r>
      <w:r w:rsidR="00570E28" w:rsidRPr="00462298">
        <w:rPr>
          <w:rFonts w:ascii="Palatino Linotype" w:hAnsi="Palatino Linotype" w:cs="Times New Roman"/>
          <w:sz w:val="20"/>
          <w:szCs w:val="20"/>
        </w:rPr>
        <w:t xml:space="preserve"> (</w:t>
      </w:r>
      <w:r w:rsidR="00570E28" w:rsidRPr="00462298">
        <w:rPr>
          <w:rFonts w:ascii="Palatino Linotype" w:hAnsi="Palatino Linotype" w:cs="Times New Roman"/>
          <w:b/>
          <w:bCs/>
          <w:sz w:val="20"/>
          <w:szCs w:val="20"/>
        </w:rPr>
        <w:t>Figure S1</w:t>
      </w:r>
      <w:r w:rsidR="00570E28" w:rsidRPr="00462298">
        <w:rPr>
          <w:rFonts w:ascii="Palatino Linotype" w:hAnsi="Palatino Linotype" w:cs="Times New Roman"/>
          <w:sz w:val="20"/>
          <w:szCs w:val="20"/>
        </w:rPr>
        <w:t>)</w:t>
      </w:r>
      <w:r w:rsidR="00774A84" w:rsidRPr="00462298">
        <w:rPr>
          <w:rFonts w:ascii="Palatino Linotype" w:hAnsi="Palatino Linotype" w:cs="Times New Roman"/>
          <w:sz w:val="20"/>
          <w:szCs w:val="20"/>
        </w:rPr>
        <w:t xml:space="preserve">. </w:t>
      </w:r>
      <w:r w:rsidR="00882623" w:rsidRPr="00462298">
        <w:rPr>
          <w:rFonts w:ascii="Palatino Linotype" w:hAnsi="Palatino Linotype" w:cs="Times New Roman"/>
          <w:sz w:val="20"/>
          <w:szCs w:val="20"/>
        </w:rPr>
        <w:t xml:space="preserve">The XRD patterns of </w:t>
      </w:r>
      <w:r w:rsidR="00491F87" w:rsidRPr="00462298">
        <w:rPr>
          <w:rFonts w:ascii="Palatino Linotype" w:hAnsi="Palatino Linotype" w:cs="Times New Roman"/>
          <w:sz w:val="20"/>
          <w:szCs w:val="20"/>
        </w:rPr>
        <w:t>CGO</w:t>
      </w:r>
      <w:r w:rsidR="00882623" w:rsidRPr="00462298">
        <w:rPr>
          <w:rFonts w:ascii="Palatino Linotype" w:hAnsi="Palatino Linotype" w:cs="Times New Roman"/>
          <w:sz w:val="20"/>
          <w:szCs w:val="20"/>
        </w:rPr>
        <w:t xml:space="preserve"> are compared with th</w:t>
      </w:r>
      <w:r w:rsidR="00366E91" w:rsidRPr="00462298">
        <w:rPr>
          <w:rFonts w:ascii="Palatino Linotype" w:hAnsi="Palatino Linotype" w:cs="Times New Roman"/>
          <w:sz w:val="20"/>
          <w:szCs w:val="20"/>
        </w:rPr>
        <w:t>ose</w:t>
      </w:r>
      <w:r w:rsidR="00882623" w:rsidRPr="00462298">
        <w:rPr>
          <w:rFonts w:ascii="Palatino Linotype" w:hAnsi="Palatino Linotype" w:cs="Times New Roman"/>
          <w:sz w:val="20"/>
          <w:szCs w:val="20"/>
        </w:rPr>
        <w:t xml:space="preserve"> of GO and starting graphite.</w:t>
      </w:r>
      <w:r w:rsidR="00774A84" w:rsidRPr="00462298">
        <w:rPr>
          <w:rFonts w:ascii="Palatino Linotype" w:hAnsi="Palatino Linotype" w:cs="Times New Roman"/>
          <w:sz w:val="20"/>
          <w:szCs w:val="20"/>
        </w:rPr>
        <w:t xml:space="preserve"> In the XRD pattern of the initial graphite (black line), </w:t>
      </w:r>
      <w:r w:rsidR="001B7C06" w:rsidRPr="00462298">
        <w:rPr>
          <w:rFonts w:ascii="Palatino Linotype" w:hAnsi="Palatino Linotype" w:cs="Times New Roman"/>
          <w:sz w:val="20"/>
          <w:szCs w:val="20"/>
        </w:rPr>
        <w:t>we observe the</w:t>
      </w:r>
      <w:r w:rsidR="00774A84" w:rsidRPr="00462298">
        <w:rPr>
          <w:rFonts w:ascii="Palatino Linotype" w:hAnsi="Palatino Linotype" w:cs="Times New Roman"/>
          <w:sz w:val="20"/>
          <w:szCs w:val="20"/>
        </w:rPr>
        <w:t xml:space="preserve"> characteristic diffraction peak at 2θ </w:t>
      </w:r>
      <w:r w:rsidR="001B7C06" w:rsidRPr="00462298">
        <w:rPr>
          <w:rFonts w:ascii="Palatino Linotype" w:hAnsi="Palatino Linotype" w:cs="Times New Roman"/>
          <w:sz w:val="20"/>
          <w:szCs w:val="20"/>
        </w:rPr>
        <w:t>=</w:t>
      </w:r>
      <w:r w:rsidR="00774A84" w:rsidRPr="00462298">
        <w:rPr>
          <w:rFonts w:ascii="Palatino Linotype" w:hAnsi="Palatino Linotype" w:cs="Times New Roman"/>
          <w:sz w:val="20"/>
          <w:szCs w:val="20"/>
        </w:rPr>
        <w:t xml:space="preserve"> 26.46</w:t>
      </w:r>
      <w:r w:rsidR="001B7C06" w:rsidRPr="00462298">
        <w:rPr>
          <w:rFonts w:ascii="Palatino Linotype" w:hAnsi="Palatino Linotype" w:cs="Times New Roman"/>
          <w:sz w:val="20"/>
          <w:szCs w:val="20"/>
          <w:vertAlign w:val="superscript"/>
        </w:rPr>
        <w:t>o</w:t>
      </w:r>
      <w:r w:rsidR="00774A84" w:rsidRPr="00462298">
        <w:rPr>
          <w:rFonts w:ascii="Palatino Linotype" w:hAnsi="Palatino Linotype" w:cs="Times New Roman"/>
          <w:sz w:val="20"/>
          <w:szCs w:val="20"/>
        </w:rPr>
        <w:t xml:space="preserve">, which is </w:t>
      </w:r>
      <w:r w:rsidR="001B7C06" w:rsidRPr="00462298">
        <w:rPr>
          <w:rFonts w:ascii="Palatino Linotype" w:hAnsi="Palatino Linotype" w:cs="Times New Roman"/>
          <w:sz w:val="20"/>
          <w:szCs w:val="20"/>
        </w:rPr>
        <w:t>distinctive</w:t>
      </w:r>
      <w:r w:rsidR="00774A84" w:rsidRPr="00462298">
        <w:rPr>
          <w:rFonts w:ascii="Palatino Linotype" w:hAnsi="Palatino Linotype" w:cs="Times New Roman"/>
          <w:sz w:val="20"/>
          <w:szCs w:val="20"/>
        </w:rPr>
        <w:t xml:space="preserve"> to graphite.</w:t>
      </w:r>
      <w:r w:rsidR="009076F7" w:rsidRPr="00462298">
        <w:rPr>
          <w:rFonts w:ascii="Palatino Linotype" w:hAnsi="Palatino Linotype" w:cs="Times New Roman"/>
          <w:sz w:val="20"/>
          <w:szCs w:val="20"/>
        </w:rPr>
        <w:t xml:space="preserve"> </w:t>
      </w:r>
      <w:r w:rsidR="00366E91" w:rsidRPr="00462298">
        <w:rPr>
          <w:rFonts w:ascii="Palatino Linotype" w:hAnsi="Palatino Linotype" w:cs="Times New Roman"/>
          <w:sz w:val="20"/>
          <w:szCs w:val="20"/>
        </w:rPr>
        <w:t xml:space="preserve">The basal spacing of </w:t>
      </w:r>
      <w:r w:rsidR="00491F87" w:rsidRPr="00462298">
        <w:rPr>
          <w:rFonts w:ascii="Palatino Linotype" w:hAnsi="Palatino Linotype" w:cs="Times New Roman"/>
          <w:sz w:val="20"/>
          <w:szCs w:val="20"/>
        </w:rPr>
        <w:t>CGO</w:t>
      </w:r>
      <w:r w:rsidR="00366E91" w:rsidRPr="00462298">
        <w:rPr>
          <w:rFonts w:ascii="Palatino Linotype" w:hAnsi="Palatino Linotype" w:cs="Times New Roman"/>
          <w:sz w:val="20"/>
          <w:szCs w:val="20"/>
        </w:rPr>
        <w:t>, as deduced from the reflection at 2θ = 10.7◦, is 8.23 Å</w:t>
      </w:r>
      <w:r w:rsidR="00C35A68" w:rsidRPr="00462298">
        <w:rPr>
          <w:rFonts w:ascii="Palatino Linotype" w:hAnsi="Palatino Linotype" w:cs="Times New Roman"/>
          <w:sz w:val="20"/>
          <w:szCs w:val="20"/>
        </w:rPr>
        <w:t xml:space="preserve"> [1]</w:t>
      </w:r>
      <w:r w:rsidR="00366E91" w:rsidRPr="00462298">
        <w:rPr>
          <w:rFonts w:ascii="Palatino Linotype" w:hAnsi="Palatino Linotype" w:cs="Times New Roman"/>
          <w:sz w:val="20"/>
          <w:szCs w:val="20"/>
        </w:rPr>
        <w:t>, w</w:t>
      </w:r>
      <w:r w:rsidR="00C76B62" w:rsidRPr="00462298">
        <w:rPr>
          <w:rFonts w:ascii="Palatino Linotype" w:hAnsi="Palatino Linotype" w:cs="Times New Roman"/>
          <w:sz w:val="20"/>
          <w:szCs w:val="20"/>
        </w:rPr>
        <w:t>hile</w:t>
      </w:r>
      <w:r w:rsidR="00366E91" w:rsidRPr="00462298">
        <w:rPr>
          <w:rFonts w:ascii="Palatino Linotype" w:hAnsi="Palatino Linotype" w:cs="Times New Roman"/>
          <w:sz w:val="20"/>
          <w:szCs w:val="20"/>
        </w:rPr>
        <w:t xml:space="preserve"> for GO</w:t>
      </w:r>
      <w:r w:rsidR="00C76B62" w:rsidRPr="00462298">
        <w:rPr>
          <w:rFonts w:ascii="Palatino Linotype" w:hAnsi="Palatino Linotype" w:cs="Times New Roman"/>
          <w:sz w:val="20"/>
          <w:szCs w:val="20"/>
        </w:rPr>
        <w:t>,</w:t>
      </w:r>
      <w:r w:rsidR="00366E91" w:rsidRPr="00462298">
        <w:rPr>
          <w:rFonts w:ascii="Palatino Linotype" w:hAnsi="Palatino Linotype" w:cs="Times New Roman"/>
          <w:sz w:val="20"/>
          <w:szCs w:val="20"/>
        </w:rPr>
        <w:t xml:space="preserve"> the d</w:t>
      </w:r>
      <w:r w:rsidR="00366E91" w:rsidRPr="00462298">
        <w:rPr>
          <w:rFonts w:ascii="Palatino Linotype" w:hAnsi="Palatino Linotype" w:cs="Times New Roman"/>
          <w:sz w:val="20"/>
          <w:szCs w:val="20"/>
          <w:vertAlign w:val="subscript"/>
        </w:rPr>
        <w:t>001</w:t>
      </w:r>
      <w:r w:rsidR="00366E91" w:rsidRPr="00462298">
        <w:rPr>
          <w:rFonts w:ascii="Palatino Linotype" w:hAnsi="Palatino Linotype" w:cs="Times New Roman"/>
          <w:sz w:val="20"/>
          <w:szCs w:val="20"/>
        </w:rPr>
        <w:t xml:space="preserve"> reflection </w:t>
      </w:r>
      <w:r w:rsidR="00B55B49" w:rsidRPr="00462298">
        <w:rPr>
          <w:rFonts w:ascii="Palatino Linotype" w:hAnsi="Palatino Linotype" w:cs="Times New Roman"/>
          <w:sz w:val="20"/>
          <w:szCs w:val="20"/>
        </w:rPr>
        <w:t>at 2</w:t>
      </w:r>
      <w:r w:rsidR="00B55B49" w:rsidRPr="00462298">
        <w:rPr>
          <w:rFonts w:ascii="Palatino Linotype" w:hAnsi="Palatino Linotype" w:cs="Times New Roman"/>
          <w:sz w:val="20"/>
          <w:szCs w:val="20"/>
          <w:lang w:val="el-GR"/>
        </w:rPr>
        <w:t>θ</w:t>
      </w:r>
      <w:r w:rsidR="00B55B49" w:rsidRPr="00462298">
        <w:rPr>
          <w:rFonts w:ascii="Palatino Linotype" w:hAnsi="Palatino Linotype" w:cs="Times New Roman"/>
          <w:sz w:val="20"/>
          <w:szCs w:val="20"/>
        </w:rPr>
        <w:t xml:space="preserve"> = 12.7</w:t>
      </w:r>
      <w:r w:rsidR="00B55B49" w:rsidRPr="00462298">
        <w:rPr>
          <w:rFonts w:ascii="Palatino Linotype" w:hAnsi="Palatino Linotype" w:cs="Times New Roman"/>
          <w:sz w:val="20"/>
          <w:szCs w:val="20"/>
          <w:vertAlign w:val="superscript"/>
        </w:rPr>
        <w:t>o</w:t>
      </w:r>
      <w:r w:rsidR="00B55B49" w:rsidRPr="00462298">
        <w:rPr>
          <w:rFonts w:ascii="Palatino Linotype" w:hAnsi="Palatino Linotype" w:cs="Times New Roman"/>
          <w:sz w:val="20"/>
          <w:szCs w:val="20"/>
        </w:rPr>
        <w:t xml:space="preserve"> is </w:t>
      </w:r>
      <w:r w:rsidR="00366E91" w:rsidRPr="00462298">
        <w:rPr>
          <w:rFonts w:ascii="Palatino Linotype" w:hAnsi="Palatino Linotype" w:cs="Times New Roman"/>
          <w:sz w:val="20"/>
          <w:szCs w:val="20"/>
        </w:rPr>
        <w:t>calculated at 7.0 Å</w:t>
      </w:r>
      <w:r w:rsidR="00B55B49" w:rsidRPr="00462298">
        <w:rPr>
          <w:rFonts w:ascii="Palatino Linotype" w:hAnsi="Palatino Linotype" w:cs="Times New Roman"/>
          <w:sz w:val="20"/>
          <w:szCs w:val="20"/>
        </w:rPr>
        <w:t xml:space="preserve">. This difference </w:t>
      </w:r>
      <w:r w:rsidR="00AA00B3" w:rsidRPr="00462298">
        <w:rPr>
          <w:rFonts w:ascii="Palatino Linotype" w:hAnsi="Palatino Linotype" w:cs="Times New Roman"/>
          <w:sz w:val="20"/>
          <w:szCs w:val="20"/>
        </w:rPr>
        <w:t>in</w:t>
      </w:r>
      <w:r w:rsidR="00B55B49" w:rsidRPr="00462298">
        <w:rPr>
          <w:rFonts w:ascii="Palatino Linotype" w:hAnsi="Palatino Linotype" w:cs="Times New Roman"/>
          <w:sz w:val="20"/>
          <w:szCs w:val="20"/>
        </w:rPr>
        <w:t xml:space="preserve"> the interlayer space between two adjacent layers</w:t>
      </w:r>
      <w:r w:rsidR="00C76B62" w:rsidRPr="00462298">
        <w:rPr>
          <w:rFonts w:ascii="Palatino Linotype" w:hAnsi="Palatino Linotype" w:cs="Times New Roman"/>
          <w:sz w:val="20"/>
          <w:szCs w:val="20"/>
        </w:rPr>
        <w:t xml:space="preserve"> of GO and </w:t>
      </w:r>
      <w:r w:rsidR="000835F5" w:rsidRPr="00462298">
        <w:rPr>
          <w:rFonts w:ascii="Palatino Linotype" w:hAnsi="Palatino Linotype" w:cs="Times New Roman"/>
          <w:sz w:val="20"/>
          <w:szCs w:val="20"/>
        </w:rPr>
        <w:t>CGO</w:t>
      </w:r>
      <w:r w:rsidR="00B55B49" w:rsidRPr="00462298">
        <w:rPr>
          <w:rFonts w:ascii="Palatino Linotype" w:hAnsi="Palatino Linotype" w:cs="Times New Roman"/>
          <w:sz w:val="20"/>
          <w:szCs w:val="20"/>
        </w:rPr>
        <w:t xml:space="preserve"> is due to</w:t>
      </w:r>
      <w:r w:rsidR="00C76B62" w:rsidRPr="00462298">
        <w:rPr>
          <w:rFonts w:ascii="Palatino Linotype" w:hAnsi="Palatino Linotype" w:cs="Times New Roman"/>
          <w:sz w:val="20"/>
          <w:szCs w:val="20"/>
        </w:rPr>
        <w:t xml:space="preserve"> the</w:t>
      </w:r>
      <w:r w:rsidR="00B55B49" w:rsidRPr="00462298">
        <w:rPr>
          <w:rFonts w:ascii="Palatino Linotype" w:hAnsi="Palatino Linotype" w:cs="Times New Roman"/>
          <w:sz w:val="20"/>
          <w:szCs w:val="20"/>
        </w:rPr>
        <w:t xml:space="preserve"> increase</w:t>
      </w:r>
      <w:r w:rsidR="00AA00B3" w:rsidRPr="00462298">
        <w:rPr>
          <w:rFonts w:ascii="Palatino Linotype" w:hAnsi="Palatino Linotype" w:cs="Times New Roman"/>
          <w:sz w:val="20"/>
          <w:szCs w:val="20"/>
        </w:rPr>
        <w:t>d</w:t>
      </w:r>
      <w:r w:rsidR="00C76B62" w:rsidRPr="00462298">
        <w:rPr>
          <w:rFonts w:ascii="Palatino Linotype" w:hAnsi="Palatino Linotype" w:cs="Times New Roman"/>
          <w:sz w:val="20"/>
          <w:szCs w:val="20"/>
        </w:rPr>
        <w:t xml:space="preserve"> number</w:t>
      </w:r>
      <w:r w:rsidR="00B55B49" w:rsidRPr="00462298">
        <w:rPr>
          <w:rFonts w:ascii="Palatino Linotype" w:hAnsi="Palatino Linotype" w:cs="Times New Roman"/>
          <w:sz w:val="20"/>
          <w:szCs w:val="20"/>
        </w:rPr>
        <w:t xml:space="preserve"> </w:t>
      </w:r>
      <w:r w:rsidR="00C76B62" w:rsidRPr="00462298">
        <w:rPr>
          <w:rFonts w:ascii="Palatino Linotype" w:hAnsi="Palatino Linotype" w:cs="Times New Roman"/>
          <w:sz w:val="20"/>
          <w:szCs w:val="20"/>
        </w:rPr>
        <w:t>of </w:t>
      </w:r>
      <w:r w:rsidR="00B55B49" w:rsidRPr="00462298">
        <w:rPr>
          <w:rFonts w:ascii="Palatino Linotype" w:hAnsi="Palatino Linotype" w:cs="Times New Roman"/>
          <w:sz w:val="20"/>
          <w:szCs w:val="20"/>
        </w:rPr>
        <w:t xml:space="preserve">carboxyl groups </w:t>
      </w:r>
      <w:r w:rsidR="00AA00B3" w:rsidRPr="00462298">
        <w:rPr>
          <w:rFonts w:ascii="Palatino Linotype" w:hAnsi="Palatino Linotype" w:cs="Times New Roman"/>
          <w:sz w:val="20"/>
          <w:szCs w:val="20"/>
        </w:rPr>
        <w:t>after the carboxylation process.</w:t>
      </w:r>
      <w:r w:rsidR="00B94A69" w:rsidRPr="00462298">
        <w:rPr>
          <w:rFonts w:ascii="Palatino Linotype" w:hAnsi="Palatino Linotype" w:cs="Times New Roman"/>
          <w:sz w:val="20"/>
          <w:szCs w:val="20"/>
        </w:rPr>
        <w:t xml:space="preserve">  </w:t>
      </w:r>
      <w:r w:rsidR="00AA00B3" w:rsidRPr="00462298">
        <w:rPr>
          <w:rFonts w:ascii="Palatino Linotype" w:hAnsi="Palatino Linotype" w:cs="Times New Roman"/>
          <w:sz w:val="20"/>
          <w:szCs w:val="20"/>
        </w:rPr>
        <w:t xml:space="preserve"> </w:t>
      </w:r>
      <w:r w:rsidR="00366E91" w:rsidRPr="00462298">
        <w:rPr>
          <w:rFonts w:ascii="Palatino Linotype" w:hAnsi="Palatino Linotype" w:cs="Times New Roman"/>
          <w:sz w:val="20"/>
          <w:szCs w:val="20"/>
        </w:rPr>
        <w:t xml:space="preserve"> </w:t>
      </w:r>
    </w:p>
    <w:p w14:paraId="670176C6" w14:textId="7F29986E" w:rsidR="007B1A24" w:rsidRPr="00462298" w:rsidRDefault="007B1A24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601ED2FC" w14:textId="718C6C04" w:rsidR="00570E28" w:rsidRPr="00462298" w:rsidRDefault="00570E28" w:rsidP="00462298">
      <w:pPr>
        <w:spacing w:line="240" w:lineRule="auto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  <w:r w:rsidRPr="00462298">
        <w:rPr>
          <w:rFonts w:ascii="Palatino Linotype" w:hAnsi="Palatino Linotype" w:cs="Times New Roman"/>
          <w:b/>
          <w:bCs/>
          <w:sz w:val="20"/>
          <w:szCs w:val="20"/>
        </w:rPr>
        <w:t>Figure S1.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XRD </w:t>
      </w:r>
      <w:r w:rsidR="00A466A2" w:rsidRPr="00462298">
        <w:rPr>
          <w:rFonts w:ascii="Palatino Linotype" w:hAnsi="Palatino Linotype" w:cs="Times New Roman"/>
          <w:sz w:val="20"/>
          <w:szCs w:val="20"/>
        </w:rPr>
        <w:t>pattern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of graphite (black line), GO (purple line) and CGO (green line)</w:t>
      </w:r>
      <w:r w:rsidR="00A466A2" w:rsidRPr="00462298">
        <w:rPr>
          <w:rFonts w:ascii="Palatino Linotype" w:hAnsi="Palatino Linotype" w:cs="Times New Roman"/>
          <w:sz w:val="20"/>
          <w:szCs w:val="20"/>
        </w:rPr>
        <w:t>.</w:t>
      </w:r>
    </w:p>
    <w:p w14:paraId="7B05F515" w14:textId="77777777" w:rsidR="007B1A24" w:rsidRPr="00462298" w:rsidRDefault="007B1A24" w:rsidP="00462298">
      <w:pPr>
        <w:spacing w:line="240" w:lineRule="auto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</w:p>
    <w:p w14:paraId="6BCB4C55" w14:textId="6D0F7616" w:rsidR="00D13F31" w:rsidRPr="00462298" w:rsidRDefault="000D7462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  <w:r w:rsidRPr="00462298">
        <w:rPr>
          <w:rFonts w:ascii="Palatino Linotype" w:hAnsi="Palatino Linotype" w:cs="Times New Roman"/>
          <w:sz w:val="20"/>
          <w:szCs w:val="20"/>
        </w:rPr>
        <w:t xml:space="preserve">In </w:t>
      </w:r>
      <w:r w:rsidRPr="00462298">
        <w:rPr>
          <w:rFonts w:ascii="Palatino Linotype" w:hAnsi="Palatino Linotype" w:cs="Times New Roman"/>
          <w:b/>
          <w:bCs/>
          <w:sz w:val="20"/>
          <w:szCs w:val="20"/>
        </w:rPr>
        <w:t>Figure S2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, </w:t>
      </w:r>
      <w:r w:rsidR="007C30AD" w:rsidRPr="00462298">
        <w:rPr>
          <w:rFonts w:ascii="Palatino Linotype" w:hAnsi="Palatino Linotype" w:cs="Times New Roman"/>
          <w:sz w:val="20"/>
          <w:szCs w:val="20"/>
        </w:rPr>
        <w:t xml:space="preserve">FT-IR spectra were performed to investigate the functional groups GO and </w:t>
      </w:r>
      <w:r w:rsidR="000835F5" w:rsidRPr="00462298">
        <w:rPr>
          <w:rFonts w:ascii="Palatino Linotype" w:hAnsi="Palatino Linotype" w:cs="Times New Roman"/>
          <w:sz w:val="20"/>
          <w:szCs w:val="20"/>
        </w:rPr>
        <w:t>CGO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. </w:t>
      </w:r>
      <w:r w:rsidR="007C30AD" w:rsidRPr="00462298">
        <w:rPr>
          <w:rFonts w:ascii="Palatino Linotype" w:hAnsi="Palatino Linotype" w:cs="Times New Roman"/>
          <w:sz w:val="20"/>
          <w:szCs w:val="20"/>
        </w:rPr>
        <w:t>In the FT-IR spectrum of graphite (black line), there is no characteristic peak because of no asymmetric stretching vibrations. As shown in the FT-IR spectrum of GO (purple line), the bands centered at 3420, 1710, 1630</w:t>
      </w:r>
      <w:r w:rsidR="00516F96" w:rsidRPr="00462298">
        <w:rPr>
          <w:rFonts w:ascii="Palatino Linotype" w:hAnsi="Palatino Linotype" w:cs="Times New Roman"/>
          <w:sz w:val="20"/>
          <w:szCs w:val="20"/>
        </w:rPr>
        <w:t>,</w:t>
      </w:r>
      <w:r w:rsidR="007C30AD" w:rsidRPr="00462298">
        <w:rPr>
          <w:rFonts w:ascii="Palatino Linotype" w:hAnsi="Palatino Linotype" w:cs="Times New Roman"/>
          <w:sz w:val="20"/>
          <w:szCs w:val="20"/>
        </w:rPr>
        <w:t xml:space="preserve"> </w:t>
      </w:r>
      <w:r w:rsidR="00613750" w:rsidRPr="00462298">
        <w:rPr>
          <w:rFonts w:ascii="Palatino Linotype" w:hAnsi="Palatino Linotype" w:cs="Times New Roman"/>
          <w:sz w:val="20"/>
          <w:szCs w:val="20"/>
        </w:rPr>
        <w:t>1395 cm</w:t>
      </w:r>
      <w:r w:rsidR="00613750" w:rsidRPr="00462298">
        <w:rPr>
          <w:rFonts w:ascii="Palatino Linotype" w:hAnsi="Palatino Linotype" w:cs="Times New Roman"/>
          <w:sz w:val="20"/>
          <w:szCs w:val="20"/>
          <w:vertAlign w:val="superscript"/>
        </w:rPr>
        <w:t>-1</w:t>
      </w:r>
      <w:r w:rsidR="00613750" w:rsidRPr="00462298">
        <w:rPr>
          <w:rFonts w:ascii="Palatino Linotype" w:hAnsi="Palatino Linotype" w:cs="Times New Roman"/>
          <w:sz w:val="20"/>
          <w:szCs w:val="20"/>
        </w:rPr>
        <w:t xml:space="preserve">, </w:t>
      </w:r>
      <w:r w:rsidR="007C30AD" w:rsidRPr="00462298">
        <w:rPr>
          <w:rFonts w:ascii="Palatino Linotype" w:hAnsi="Palatino Linotype" w:cs="Times New Roman"/>
          <w:sz w:val="20"/>
          <w:szCs w:val="20"/>
        </w:rPr>
        <w:t>and 1060 cm</w:t>
      </w:r>
      <w:r w:rsidR="007C30AD" w:rsidRPr="00462298">
        <w:rPr>
          <w:rFonts w:ascii="Palatino Linotype" w:hAnsi="Palatino Linotype" w:cs="Times New Roman"/>
          <w:sz w:val="20"/>
          <w:szCs w:val="20"/>
          <w:vertAlign w:val="superscript"/>
        </w:rPr>
        <w:t>-1</w:t>
      </w:r>
      <w:r w:rsidR="007C30AD" w:rsidRPr="00462298">
        <w:rPr>
          <w:rFonts w:ascii="Palatino Linotype" w:hAnsi="Palatino Linotype" w:cs="Times New Roman"/>
          <w:sz w:val="20"/>
          <w:szCs w:val="20"/>
        </w:rPr>
        <w:t xml:space="preserve"> are attributed to the stretching vibrations of –OH, C</w:t>
      </w:r>
      <w:r w:rsidR="00516F96" w:rsidRPr="00462298">
        <w:rPr>
          <w:rFonts w:ascii="Palatino Linotype" w:hAnsi="Palatino Linotype" w:cs="Times New Roman"/>
          <w:sz w:val="20"/>
          <w:szCs w:val="20"/>
        </w:rPr>
        <w:t>=O</w:t>
      </w:r>
      <w:r w:rsidR="007C30AD" w:rsidRPr="00462298">
        <w:rPr>
          <w:rFonts w:ascii="Palatino Linotype" w:hAnsi="Palatino Linotype" w:cs="Times New Roman"/>
          <w:sz w:val="20"/>
          <w:szCs w:val="20"/>
        </w:rPr>
        <w:t>, C</w:t>
      </w:r>
      <w:r w:rsidR="00CB0C68" w:rsidRPr="00462298">
        <w:rPr>
          <w:rFonts w:ascii="Palatino Linotype" w:hAnsi="Palatino Linotype" w:cs="Times New Roman"/>
          <w:sz w:val="20"/>
          <w:szCs w:val="20"/>
        </w:rPr>
        <w:t>=</w:t>
      </w:r>
      <w:r w:rsidR="00516F96" w:rsidRPr="00462298">
        <w:rPr>
          <w:rFonts w:ascii="Palatino Linotype" w:hAnsi="Palatino Linotype" w:cs="Times New Roman"/>
          <w:sz w:val="20"/>
          <w:szCs w:val="20"/>
        </w:rPr>
        <w:t>C,</w:t>
      </w:r>
      <w:r w:rsidR="00613750" w:rsidRPr="00462298">
        <w:rPr>
          <w:rFonts w:ascii="Palatino Linotype" w:hAnsi="Palatino Linotype" w:cs="Times New Roman"/>
          <w:sz w:val="20"/>
          <w:szCs w:val="20"/>
        </w:rPr>
        <w:t xml:space="preserve"> C-O,</w:t>
      </w:r>
      <w:r w:rsidR="007C30AD" w:rsidRPr="00462298">
        <w:rPr>
          <w:rFonts w:ascii="Palatino Linotype" w:hAnsi="Palatino Linotype" w:cs="Times New Roman"/>
          <w:sz w:val="20"/>
          <w:szCs w:val="20"/>
        </w:rPr>
        <w:t xml:space="preserve"> and C–O-</w:t>
      </w:r>
      <w:r w:rsidR="00613750" w:rsidRPr="00462298">
        <w:rPr>
          <w:rFonts w:ascii="Palatino Linotype" w:hAnsi="Palatino Linotype" w:cs="Times New Roman"/>
          <w:sz w:val="20"/>
          <w:szCs w:val="20"/>
        </w:rPr>
        <w:t xml:space="preserve"> (epoxy)</w:t>
      </w:r>
      <w:r w:rsidR="007C30AD" w:rsidRPr="00462298">
        <w:rPr>
          <w:rFonts w:ascii="Palatino Linotype" w:hAnsi="Palatino Linotype" w:cs="Times New Roman"/>
          <w:sz w:val="20"/>
          <w:szCs w:val="20"/>
        </w:rPr>
        <w:t xml:space="preserve"> groups</w:t>
      </w:r>
      <w:r w:rsidR="00C35A68" w:rsidRPr="00462298">
        <w:rPr>
          <w:rFonts w:ascii="Palatino Linotype" w:hAnsi="Palatino Linotype" w:cs="Times New Roman"/>
          <w:sz w:val="20"/>
          <w:szCs w:val="20"/>
        </w:rPr>
        <w:t>,</w:t>
      </w:r>
      <w:r w:rsidR="007C30AD" w:rsidRPr="00462298">
        <w:rPr>
          <w:rFonts w:ascii="Palatino Linotype" w:hAnsi="Palatino Linotype" w:cs="Times New Roman"/>
          <w:sz w:val="20"/>
          <w:szCs w:val="20"/>
        </w:rPr>
        <w:t xml:space="preserve"> respectively</w:t>
      </w:r>
      <w:r w:rsidR="00E653F5" w:rsidRPr="00462298">
        <w:rPr>
          <w:rFonts w:ascii="Palatino Linotype" w:hAnsi="Palatino Linotype" w:cs="Times New Roman"/>
          <w:sz w:val="20"/>
          <w:szCs w:val="20"/>
        </w:rPr>
        <w:t xml:space="preserve"> </w:t>
      </w:r>
      <w:r w:rsidR="00C35A68" w:rsidRPr="00462298">
        <w:rPr>
          <w:rFonts w:ascii="Palatino Linotype" w:hAnsi="Palatino Linotype" w:cs="Times New Roman"/>
          <w:sz w:val="20"/>
          <w:szCs w:val="20"/>
        </w:rPr>
        <w:t>[2, 3]</w:t>
      </w:r>
      <w:r w:rsidR="00E653F5" w:rsidRPr="00462298">
        <w:rPr>
          <w:rFonts w:ascii="Palatino Linotype" w:hAnsi="Palatino Linotype" w:cs="Times New Roman"/>
          <w:sz w:val="20"/>
          <w:szCs w:val="20"/>
        </w:rPr>
        <w:t xml:space="preserve">. </w:t>
      </w:r>
      <w:r w:rsidR="00015C22" w:rsidRPr="00462298">
        <w:rPr>
          <w:rFonts w:ascii="Palatino Linotype" w:hAnsi="Palatino Linotype" w:cs="Times New Roman"/>
          <w:sz w:val="20"/>
          <w:szCs w:val="20"/>
        </w:rPr>
        <w:t xml:space="preserve">Concerning the FT-IR spectrum of </w:t>
      </w:r>
      <w:r w:rsidR="000835F5" w:rsidRPr="00462298">
        <w:rPr>
          <w:rFonts w:ascii="Palatino Linotype" w:hAnsi="Palatino Linotype" w:cs="Times New Roman"/>
          <w:sz w:val="20"/>
          <w:szCs w:val="20"/>
        </w:rPr>
        <w:t>CGO</w:t>
      </w:r>
      <w:r w:rsidR="00015C22" w:rsidRPr="00462298">
        <w:rPr>
          <w:rFonts w:ascii="Palatino Linotype" w:hAnsi="Palatino Linotype" w:cs="Times New Roman"/>
          <w:sz w:val="20"/>
          <w:szCs w:val="20"/>
        </w:rPr>
        <w:t xml:space="preserve"> (green line), the characteristic </w:t>
      </w:r>
      <w:r w:rsidR="00015C22" w:rsidRPr="00462298">
        <w:rPr>
          <w:rFonts w:ascii="Palatino Linotype" w:hAnsi="Palatino Linotype" w:cs="Times New Roman"/>
          <w:sz w:val="20"/>
          <w:szCs w:val="20"/>
        </w:rPr>
        <w:lastRenderedPageBreak/>
        <w:t xml:space="preserve">peaks of GO appear in the spectrum </w:t>
      </w:r>
      <w:r w:rsidR="00CB0C68" w:rsidRPr="00462298">
        <w:rPr>
          <w:rFonts w:ascii="Palatino Linotype" w:hAnsi="Palatino Linotype" w:cs="Times New Roman"/>
          <w:sz w:val="20"/>
          <w:szCs w:val="20"/>
        </w:rPr>
        <w:t xml:space="preserve">of </w:t>
      </w:r>
      <w:r w:rsidR="000835F5" w:rsidRPr="00462298">
        <w:rPr>
          <w:rFonts w:ascii="Palatino Linotype" w:hAnsi="Palatino Linotype" w:cs="Times New Roman"/>
          <w:sz w:val="20"/>
          <w:szCs w:val="20"/>
        </w:rPr>
        <w:t>CGO</w:t>
      </w:r>
      <w:r w:rsidR="00CB0C68" w:rsidRPr="00462298">
        <w:rPr>
          <w:rFonts w:ascii="Palatino Linotype" w:hAnsi="Palatino Linotype" w:cs="Times New Roman"/>
          <w:sz w:val="20"/>
          <w:szCs w:val="20"/>
        </w:rPr>
        <w:t xml:space="preserve"> as well. However</w:t>
      </w:r>
      <w:r w:rsidR="008538AA" w:rsidRPr="00462298">
        <w:rPr>
          <w:rFonts w:ascii="Palatino Linotype" w:hAnsi="Palatino Linotype" w:cs="Times New Roman"/>
          <w:sz w:val="20"/>
          <w:szCs w:val="20"/>
        </w:rPr>
        <w:t>,</w:t>
      </w:r>
      <w:r w:rsidR="00CB0C68" w:rsidRPr="00462298">
        <w:rPr>
          <w:rFonts w:ascii="Palatino Linotype" w:hAnsi="Palatino Linotype" w:cs="Times New Roman"/>
          <w:sz w:val="20"/>
          <w:szCs w:val="20"/>
        </w:rPr>
        <w:t xml:space="preserve"> the peak at </w:t>
      </w:r>
      <w:r w:rsidR="00516F96" w:rsidRPr="00462298">
        <w:rPr>
          <w:rFonts w:ascii="Palatino Linotype" w:hAnsi="Palatino Linotype" w:cs="Times New Roman"/>
          <w:sz w:val="20"/>
          <w:szCs w:val="20"/>
        </w:rPr>
        <w:t>1710</w:t>
      </w:r>
      <w:r w:rsidR="00CB0C68" w:rsidRPr="00462298">
        <w:rPr>
          <w:rFonts w:ascii="Palatino Linotype" w:hAnsi="Palatino Linotype" w:cs="Times New Roman"/>
          <w:sz w:val="20"/>
          <w:szCs w:val="20"/>
        </w:rPr>
        <w:t xml:space="preserve"> cm</w:t>
      </w:r>
      <w:r w:rsidR="00CB0C68" w:rsidRPr="00462298">
        <w:rPr>
          <w:rFonts w:ascii="Palatino Linotype" w:hAnsi="Palatino Linotype" w:cs="Times New Roman"/>
          <w:sz w:val="20"/>
          <w:szCs w:val="20"/>
          <w:vertAlign w:val="superscript"/>
        </w:rPr>
        <w:t>-</w:t>
      </w:r>
      <w:r w:rsidR="00D13F31" w:rsidRPr="00462298">
        <w:rPr>
          <w:rFonts w:ascii="Palatino Linotype" w:hAnsi="Palatino Linotype" w:cs="Times New Roman"/>
          <w:sz w:val="20"/>
          <w:szCs w:val="20"/>
          <w:vertAlign w:val="superscript"/>
        </w:rPr>
        <w:t>1</w:t>
      </w:r>
      <w:r w:rsidR="00D13F31" w:rsidRPr="00462298">
        <w:rPr>
          <w:rFonts w:ascii="Palatino Linotype" w:hAnsi="Palatino Linotype" w:cs="Times New Roman"/>
          <w:sz w:val="20"/>
          <w:szCs w:val="20"/>
        </w:rPr>
        <w:t xml:space="preserve"> is</w:t>
      </w:r>
      <w:r w:rsidR="00CB0C68" w:rsidRPr="00462298">
        <w:rPr>
          <w:rFonts w:ascii="Palatino Linotype" w:hAnsi="Palatino Linotype" w:cs="Times New Roman"/>
          <w:sz w:val="20"/>
          <w:szCs w:val="20"/>
        </w:rPr>
        <w:t xml:space="preserve"> more intense due to the increase of carboxyl groups after modification of GO. </w:t>
      </w:r>
      <w:r w:rsidR="00D13F31" w:rsidRPr="00462298">
        <w:rPr>
          <w:rFonts w:ascii="Palatino Linotype" w:hAnsi="Palatino Linotype" w:cs="Times New Roman"/>
          <w:sz w:val="20"/>
          <w:szCs w:val="20"/>
        </w:rPr>
        <w:t>Moreover, the band of GO at 1630 cm</w:t>
      </w:r>
      <w:r w:rsidR="00D13F31" w:rsidRPr="00462298">
        <w:rPr>
          <w:rFonts w:ascii="Palatino Linotype" w:hAnsi="Palatino Linotype" w:cs="Times New Roman"/>
          <w:sz w:val="20"/>
          <w:szCs w:val="20"/>
          <w:vertAlign w:val="superscript"/>
        </w:rPr>
        <w:t>-1</w:t>
      </w:r>
      <w:r w:rsidR="00D13F31" w:rsidRPr="00462298">
        <w:rPr>
          <w:rFonts w:ascii="Palatino Linotype" w:hAnsi="Palatino Linotype" w:cs="Times New Roman"/>
          <w:sz w:val="20"/>
          <w:szCs w:val="20"/>
        </w:rPr>
        <w:t xml:space="preserve"> has been downshifted to 1602 cm</w:t>
      </w:r>
      <w:r w:rsidR="00D13F31" w:rsidRPr="00462298">
        <w:rPr>
          <w:rFonts w:ascii="Palatino Linotype" w:hAnsi="Palatino Linotype" w:cs="Times New Roman"/>
          <w:sz w:val="20"/>
          <w:szCs w:val="20"/>
          <w:vertAlign w:val="superscript"/>
        </w:rPr>
        <w:t>-1</w:t>
      </w:r>
      <w:r w:rsidR="008538AA" w:rsidRPr="00462298">
        <w:rPr>
          <w:rFonts w:ascii="Palatino Linotype" w:hAnsi="Palatino Linotype" w:cs="Times New Roman"/>
          <w:sz w:val="20"/>
          <w:szCs w:val="20"/>
          <w:vertAlign w:val="superscript"/>
        </w:rPr>
        <w:t>,</w:t>
      </w:r>
      <w:r w:rsidR="00D13F31" w:rsidRPr="00462298">
        <w:rPr>
          <w:rFonts w:ascii="Palatino Linotype" w:hAnsi="Palatino Linotype" w:cs="Times New Roman"/>
          <w:sz w:val="20"/>
          <w:szCs w:val="20"/>
        </w:rPr>
        <w:t xml:space="preserve"> and this is an indication of the increase of carboxylic groups because they have high electronegativity attracting electrons from the graphitic domain</w:t>
      </w:r>
      <w:r w:rsidR="008538AA" w:rsidRPr="00462298">
        <w:rPr>
          <w:rFonts w:ascii="Palatino Linotype" w:hAnsi="Palatino Linotype" w:cs="Times New Roman"/>
          <w:sz w:val="20"/>
          <w:szCs w:val="20"/>
        </w:rPr>
        <w:t>,</w:t>
      </w:r>
      <w:r w:rsidR="00D13F31" w:rsidRPr="00462298">
        <w:rPr>
          <w:rFonts w:ascii="Palatino Linotype" w:hAnsi="Palatino Linotype" w:cs="Times New Roman"/>
          <w:sz w:val="20"/>
          <w:szCs w:val="20"/>
        </w:rPr>
        <w:t xml:space="preserve"> leaving low charge density on C=C bonds</w:t>
      </w:r>
      <w:r w:rsidR="00E00193" w:rsidRPr="00462298">
        <w:rPr>
          <w:rFonts w:ascii="Palatino Linotype" w:hAnsi="Palatino Linotype" w:cs="Times New Roman"/>
          <w:sz w:val="20"/>
          <w:szCs w:val="20"/>
        </w:rPr>
        <w:t xml:space="preserve"> [4]</w:t>
      </w:r>
      <w:r w:rsidR="00D13F31" w:rsidRPr="00462298">
        <w:rPr>
          <w:rFonts w:ascii="Palatino Linotype" w:hAnsi="Palatino Linotype" w:cs="Times New Roman"/>
          <w:sz w:val="20"/>
          <w:szCs w:val="20"/>
        </w:rPr>
        <w:t xml:space="preserve">. </w:t>
      </w:r>
      <w:r w:rsidR="005911BC" w:rsidRPr="00462298">
        <w:rPr>
          <w:rFonts w:ascii="Palatino Linotype" w:hAnsi="Palatino Linotype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1E035C6" wp14:editId="2AC19940">
            <wp:simplePos x="0" y="0"/>
            <wp:positionH relativeFrom="margin">
              <wp:align>center</wp:align>
            </wp:positionH>
            <wp:positionV relativeFrom="paragraph">
              <wp:posOffset>951865</wp:posOffset>
            </wp:positionV>
            <wp:extent cx="4213860" cy="3514725"/>
            <wp:effectExtent l="0" t="0" r="0" b="9525"/>
            <wp:wrapTopAndBottom/>
            <wp:docPr id="149526698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66987" name="Εικόνα 14952669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32091" w14:textId="55C65527" w:rsidR="00BD42F7" w:rsidRPr="00462298" w:rsidRDefault="00BD42F7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4D06BC07" w14:textId="54CCE0A5" w:rsidR="00A466A2" w:rsidRPr="00462298" w:rsidRDefault="00A466A2" w:rsidP="00462298">
      <w:pPr>
        <w:spacing w:line="240" w:lineRule="auto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  <w:r w:rsidRPr="00462298">
        <w:rPr>
          <w:rFonts w:ascii="Palatino Linotype" w:hAnsi="Palatino Linotype" w:cs="Times New Roman"/>
          <w:b/>
          <w:bCs/>
          <w:sz w:val="20"/>
          <w:szCs w:val="20"/>
        </w:rPr>
        <w:t>Figure S2.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</w:t>
      </w:r>
      <w:r w:rsidR="001B26E4" w:rsidRPr="00462298">
        <w:rPr>
          <w:rFonts w:ascii="Palatino Linotype" w:hAnsi="Palatino Linotype" w:cs="Times New Roman"/>
          <w:sz w:val="20"/>
          <w:szCs w:val="20"/>
        </w:rPr>
        <w:t>FTIR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spectra of graphite (black line), GO (purple line) and CGO (green line).</w:t>
      </w:r>
    </w:p>
    <w:p w14:paraId="1371940B" w14:textId="77777777" w:rsidR="00345961" w:rsidRPr="00462298" w:rsidRDefault="00345961" w:rsidP="00462298">
      <w:pPr>
        <w:spacing w:line="240" w:lineRule="auto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</w:p>
    <w:p w14:paraId="728006AB" w14:textId="49442E8A" w:rsidR="00B94A69" w:rsidRPr="00462298" w:rsidRDefault="00AC21AD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  <w:r w:rsidRPr="00462298">
        <w:rPr>
          <w:rFonts w:ascii="Palatino Linotype" w:hAnsi="Palatino Linotype" w:cs="Times New Roman"/>
          <w:sz w:val="20"/>
          <w:szCs w:val="20"/>
        </w:rPr>
        <w:t>T</w:t>
      </w:r>
      <w:r w:rsidR="00B94A69" w:rsidRPr="00462298">
        <w:rPr>
          <w:rFonts w:ascii="Palatino Linotype" w:hAnsi="Palatino Linotype" w:cs="Times New Roman"/>
          <w:sz w:val="20"/>
          <w:szCs w:val="20"/>
        </w:rPr>
        <w:t>he Raman spectr</w:t>
      </w:r>
      <w:r w:rsidR="009076F7" w:rsidRPr="00462298">
        <w:rPr>
          <w:rFonts w:ascii="Palatino Linotype" w:hAnsi="Palatino Linotype" w:cs="Times New Roman"/>
          <w:sz w:val="20"/>
          <w:szCs w:val="20"/>
        </w:rPr>
        <w:t>a</w:t>
      </w:r>
      <w:r w:rsidR="00B94A69" w:rsidRPr="00462298">
        <w:rPr>
          <w:rFonts w:ascii="Palatino Linotype" w:hAnsi="Palatino Linotype" w:cs="Times New Roman"/>
          <w:sz w:val="20"/>
          <w:szCs w:val="20"/>
        </w:rPr>
        <w:t xml:space="preserve"> of 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initial graphite (black line), GO (purple line), and </w:t>
      </w:r>
      <w:proofErr w:type="spellStart"/>
      <w:r w:rsidRPr="00462298">
        <w:rPr>
          <w:rFonts w:ascii="Palatino Linotype" w:hAnsi="Palatino Linotype" w:cs="Times New Roman"/>
          <w:sz w:val="20"/>
          <w:szCs w:val="20"/>
        </w:rPr>
        <w:t>carboxylated</w:t>
      </w:r>
      <w:proofErr w:type="spellEnd"/>
      <w:r w:rsidRPr="00462298">
        <w:rPr>
          <w:rFonts w:ascii="Palatino Linotype" w:hAnsi="Palatino Linotype" w:cs="Times New Roman"/>
          <w:sz w:val="20"/>
          <w:szCs w:val="20"/>
        </w:rPr>
        <w:t xml:space="preserve"> GO (green light) </w:t>
      </w:r>
      <w:r w:rsidR="009076F7" w:rsidRPr="00462298">
        <w:rPr>
          <w:rFonts w:ascii="Palatino Linotype" w:hAnsi="Palatino Linotype" w:cs="Times New Roman"/>
          <w:sz w:val="20"/>
          <w:szCs w:val="20"/>
        </w:rPr>
        <w:t>are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presented in </w:t>
      </w:r>
      <w:r w:rsidRPr="00462298">
        <w:rPr>
          <w:rFonts w:ascii="Palatino Linotype" w:hAnsi="Palatino Linotype" w:cs="Times New Roman"/>
          <w:b/>
          <w:bCs/>
          <w:sz w:val="20"/>
          <w:szCs w:val="20"/>
        </w:rPr>
        <w:t xml:space="preserve">Figure </w:t>
      </w:r>
      <w:r w:rsidR="00FD20E4" w:rsidRPr="00462298">
        <w:rPr>
          <w:rFonts w:ascii="Palatino Linotype" w:hAnsi="Palatino Linotype" w:cs="Times New Roman"/>
          <w:b/>
          <w:bCs/>
          <w:sz w:val="20"/>
          <w:szCs w:val="20"/>
        </w:rPr>
        <w:t>S</w:t>
      </w:r>
      <w:r w:rsidR="00B515A1" w:rsidRPr="00462298">
        <w:rPr>
          <w:rFonts w:ascii="Palatino Linotype" w:hAnsi="Palatino Linotype" w:cs="Times New Roman"/>
          <w:b/>
          <w:bCs/>
          <w:sz w:val="20"/>
          <w:szCs w:val="20"/>
        </w:rPr>
        <w:t>3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. The two </w:t>
      </w:r>
      <w:r w:rsidR="005A7B20" w:rsidRPr="00462298">
        <w:rPr>
          <w:rFonts w:ascii="Palatino Linotype" w:hAnsi="Palatino Linotype" w:cs="Times New Roman"/>
          <w:sz w:val="20"/>
          <w:szCs w:val="20"/>
        </w:rPr>
        <w:t>major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peaks at ~1346 cm</w:t>
      </w:r>
      <w:r w:rsidRPr="00462298">
        <w:rPr>
          <w:rFonts w:ascii="Palatino Linotype" w:hAnsi="Palatino Linotype" w:cs="Times New Roman"/>
          <w:sz w:val="20"/>
          <w:szCs w:val="20"/>
          <w:vertAlign w:val="superscript"/>
        </w:rPr>
        <w:t>−1</w:t>
      </w:r>
      <w:r w:rsidRPr="00462298">
        <w:rPr>
          <w:rFonts w:ascii="Palatino Linotype" w:hAnsi="Palatino Linotype" w:cs="Times New Roman"/>
          <w:sz w:val="20"/>
          <w:szCs w:val="20"/>
        </w:rPr>
        <w:t> (D band) and ~1596 cm</w:t>
      </w:r>
      <w:r w:rsidRPr="00462298">
        <w:rPr>
          <w:rFonts w:ascii="Palatino Linotype" w:hAnsi="Palatino Linotype" w:cs="Times New Roman"/>
          <w:sz w:val="20"/>
          <w:szCs w:val="20"/>
          <w:vertAlign w:val="superscript"/>
        </w:rPr>
        <w:t>−1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 (G band) for GO and </w:t>
      </w:r>
      <w:proofErr w:type="spellStart"/>
      <w:r w:rsidRPr="00462298">
        <w:rPr>
          <w:rFonts w:ascii="Palatino Linotype" w:hAnsi="Palatino Linotype" w:cs="Times New Roman"/>
          <w:sz w:val="20"/>
          <w:szCs w:val="20"/>
        </w:rPr>
        <w:t>carboxylated</w:t>
      </w:r>
      <w:proofErr w:type="spellEnd"/>
      <w:r w:rsidRPr="00462298">
        <w:rPr>
          <w:rFonts w:ascii="Palatino Linotype" w:hAnsi="Palatino Linotype" w:cs="Times New Roman"/>
          <w:sz w:val="20"/>
          <w:szCs w:val="20"/>
        </w:rPr>
        <w:t xml:space="preserve"> GO are due to the existence of sp</w:t>
      </w:r>
      <w:r w:rsidRPr="00462298">
        <w:rPr>
          <w:rFonts w:ascii="Palatino Linotype" w:hAnsi="Palatino Linotype" w:cs="Times New Roman"/>
          <w:sz w:val="20"/>
          <w:szCs w:val="20"/>
          <w:vertAlign w:val="superscript"/>
        </w:rPr>
        <w:t>3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hybridized carbon atoms mentioned as defects for the graphitic domain</w:t>
      </w:r>
      <w:r w:rsidR="00BD6996" w:rsidRPr="00462298">
        <w:rPr>
          <w:rFonts w:ascii="Palatino Linotype" w:hAnsi="Palatino Linotype" w:cs="Times New Roman"/>
          <w:sz w:val="20"/>
          <w:szCs w:val="20"/>
        </w:rPr>
        <w:t xml:space="preserve"> (D band)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and caused due to the oxidation process which causes the brake of C=C bonds on the aromatic rings creating oxygen functionalities. </w:t>
      </w:r>
      <w:r w:rsidR="00BD6996" w:rsidRPr="00462298">
        <w:rPr>
          <w:rFonts w:ascii="Palatino Linotype" w:hAnsi="Palatino Linotype" w:cs="Times New Roman"/>
          <w:sz w:val="20"/>
          <w:szCs w:val="20"/>
        </w:rPr>
        <w:t>G band is characteristic of the sp</w:t>
      </w:r>
      <w:r w:rsidR="00BD6996" w:rsidRPr="00462298">
        <w:rPr>
          <w:rFonts w:ascii="Palatino Linotype" w:hAnsi="Palatino Linotype" w:cs="Times New Roman"/>
          <w:sz w:val="20"/>
          <w:szCs w:val="20"/>
          <w:vertAlign w:val="superscript"/>
        </w:rPr>
        <w:t>2</w:t>
      </w:r>
      <w:r w:rsidR="00BD6996" w:rsidRPr="00462298">
        <w:rPr>
          <w:rFonts w:ascii="Palatino Linotype" w:hAnsi="Palatino Linotype" w:cs="Times New Roman"/>
          <w:sz w:val="20"/>
          <w:szCs w:val="20"/>
        </w:rPr>
        <w:t xml:space="preserve"> hybridized carbon atoms due to the stretching vibration of C-C bonds of graphene. The ratio of the D to G band</w:t>
      </w:r>
      <w:r w:rsidR="00E304F8" w:rsidRPr="00462298">
        <w:rPr>
          <w:rFonts w:ascii="Palatino Linotype" w:hAnsi="Palatino Linotype" w:cs="Times New Roman"/>
          <w:sz w:val="20"/>
          <w:szCs w:val="20"/>
        </w:rPr>
        <w:t xml:space="preserve"> is a bit higher for </w:t>
      </w:r>
      <w:r w:rsidR="000835F5" w:rsidRPr="00462298">
        <w:rPr>
          <w:rFonts w:ascii="Palatino Linotype" w:hAnsi="Palatino Linotype" w:cs="Times New Roman"/>
          <w:sz w:val="20"/>
          <w:szCs w:val="20"/>
        </w:rPr>
        <w:t>CGO</w:t>
      </w:r>
      <w:r w:rsidR="00E304F8" w:rsidRPr="00462298">
        <w:rPr>
          <w:rFonts w:ascii="Palatino Linotype" w:hAnsi="Palatino Linotype" w:cs="Times New Roman"/>
          <w:sz w:val="20"/>
          <w:szCs w:val="20"/>
        </w:rPr>
        <w:t xml:space="preserve"> ID/IG=0.95 compared to GO ID/IG=0.88, declaring more defects on the final </w:t>
      </w:r>
      <w:proofErr w:type="spellStart"/>
      <w:r w:rsidR="00E304F8" w:rsidRPr="00462298">
        <w:rPr>
          <w:rFonts w:ascii="Palatino Linotype" w:hAnsi="Palatino Linotype" w:cs="Times New Roman"/>
          <w:sz w:val="20"/>
          <w:szCs w:val="20"/>
        </w:rPr>
        <w:t>carboxylated</w:t>
      </w:r>
      <w:proofErr w:type="spellEnd"/>
      <w:r w:rsidR="00E304F8" w:rsidRPr="00462298">
        <w:rPr>
          <w:rFonts w:ascii="Palatino Linotype" w:hAnsi="Palatino Linotype" w:cs="Times New Roman"/>
          <w:sz w:val="20"/>
          <w:szCs w:val="20"/>
        </w:rPr>
        <w:t xml:space="preserve"> structure. However, the difference in the ratios is so tiny </w:t>
      </w:r>
      <w:r w:rsidR="00BD6996" w:rsidRPr="00462298">
        <w:rPr>
          <w:rFonts w:ascii="Palatino Linotype" w:hAnsi="Palatino Linotype" w:cs="Times New Roman"/>
          <w:sz w:val="20"/>
          <w:szCs w:val="20"/>
        </w:rPr>
        <w:t xml:space="preserve">that </w:t>
      </w:r>
      <w:r w:rsidR="00E304F8" w:rsidRPr="00462298">
        <w:rPr>
          <w:rFonts w:ascii="Palatino Linotype" w:hAnsi="Palatino Linotype" w:cs="Times New Roman"/>
          <w:sz w:val="20"/>
          <w:szCs w:val="20"/>
        </w:rPr>
        <w:t xml:space="preserve">it shows that </w:t>
      </w:r>
      <w:r w:rsidR="00BD6996" w:rsidRPr="00462298">
        <w:rPr>
          <w:rFonts w:ascii="Palatino Linotype" w:hAnsi="Palatino Linotype" w:cs="Times New Roman"/>
          <w:sz w:val="20"/>
          <w:szCs w:val="20"/>
        </w:rPr>
        <w:t>the carboxylation took place</w:t>
      </w:r>
      <w:r w:rsidR="00E304F8" w:rsidRPr="00462298">
        <w:rPr>
          <w:rFonts w:ascii="Palatino Linotype" w:hAnsi="Palatino Linotype" w:cs="Times New Roman"/>
          <w:sz w:val="20"/>
          <w:szCs w:val="20"/>
        </w:rPr>
        <w:t xml:space="preserve"> mainly </w:t>
      </w:r>
      <w:r w:rsidR="00BD6996" w:rsidRPr="00462298">
        <w:rPr>
          <w:rFonts w:ascii="Palatino Linotype" w:hAnsi="Palatino Linotype" w:cs="Times New Roman"/>
          <w:sz w:val="20"/>
          <w:szCs w:val="20"/>
        </w:rPr>
        <w:t xml:space="preserve">on the oxygen functionalities after the oxidation of graphite and not in the planar structure of graphene. </w:t>
      </w:r>
      <w:r w:rsidR="00AB224E" w:rsidRPr="00462298">
        <w:rPr>
          <w:rFonts w:ascii="Palatino Linotype" w:hAnsi="Palatino Linotype" w:cs="Times New Roman"/>
          <w:sz w:val="20"/>
          <w:szCs w:val="20"/>
        </w:rPr>
        <w:t>As for initial graphite, the ratio of D to G band is very low because of the negligible defects of the graphitic plane.</w:t>
      </w:r>
      <w:r w:rsidR="00E304F8" w:rsidRPr="00462298">
        <w:rPr>
          <w:rFonts w:ascii="Palatino Linotype" w:hAnsi="Palatino Linotype" w:cs="Times New Roman"/>
          <w:sz w:val="20"/>
          <w:szCs w:val="20"/>
        </w:rPr>
        <w:t xml:space="preserve"> </w:t>
      </w:r>
      <w:r w:rsidR="00A0681A" w:rsidRPr="00462298">
        <w:rPr>
          <w:rFonts w:ascii="Palatino Linotype" w:hAnsi="Palatino Linotype" w:cs="Times New Roman"/>
          <w:sz w:val="20"/>
          <w:szCs w:val="20"/>
        </w:rPr>
        <w:t>Moreover, the ratio between 2D and D+G bands (I</w:t>
      </w:r>
      <w:r w:rsidR="00A0681A" w:rsidRPr="00462298">
        <w:rPr>
          <w:rFonts w:ascii="Palatino Linotype" w:hAnsi="Palatino Linotype" w:cs="Times New Roman"/>
          <w:sz w:val="20"/>
          <w:szCs w:val="20"/>
          <w:vertAlign w:val="subscript"/>
        </w:rPr>
        <w:t>2D</w:t>
      </w:r>
      <w:r w:rsidR="00A0681A" w:rsidRPr="00462298">
        <w:rPr>
          <w:rFonts w:ascii="Palatino Linotype" w:hAnsi="Palatino Linotype" w:cs="Times New Roman"/>
          <w:sz w:val="20"/>
          <w:szCs w:val="20"/>
        </w:rPr>
        <w:t>/I</w:t>
      </w:r>
      <w:r w:rsidR="00A0681A" w:rsidRPr="00462298">
        <w:rPr>
          <w:rFonts w:ascii="Palatino Linotype" w:hAnsi="Palatino Linotype" w:cs="Times New Roman"/>
          <w:sz w:val="20"/>
          <w:szCs w:val="20"/>
          <w:vertAlign w:val="subscript"/>
        </w:rPr>
        <w:t>D+G</w:t>
      </w:r>
      <w:r w:rsidR="00A0681A" w:rsidRPr="00462298">
        <w:rPr>
          <w:rFonts w:ascii="Palatino Linotype" w:hAnsi="Palatino Linotype" w:cs="Times New Roman"/>
          <w:sz w:val="20"/>
          <w:szCs w:val="20"/>
        </w:rPr>
        <w:t xml:space="preserve">) expresses the destruction of </w:t>
      </w:r>
      <w:r w:rsidR="00A0681A" w:rsidRPr="00462298">
        <w:rPr>
          <w:rFonts w:ascii="Palatino Linotype" w:hAnsi="Palatino Linotype" w:cs="Times New Roman"/>
          <w:sz w:val="20"/>
          <w:szCs w:val="20"/>
        </w:rPr>
        <w:lastRenderedPageBreak/>
        <w:t>sp</w:t>
      </w:r>
      <w:r w:rsidR="00A0681A" w:rsidRPr="00462298">
        <w:rPr>
          <w:rFonts w:ascii="Palatino Linotype" w:hAnsi="Palatino Linotype" w:cs="Times New Roman"/>
          <w:sz w:val="20"/>
          <w:szCs w:val="20"/>
          <w:vertAlign w:val="superscript"/>
        </w:rPr>
        <w:t>2</w:t>
      </w:r>
      <w:r w:rsidR="00A0681A" w:rsidRPr="00462298">
        <w:rPr>
          <w:rFonts w:ascii="Palatino Linotype" w:hAnsi="Palatino Linotype" w:cs="Times New Roman"/>
          <w:sz w:val="20"/>
          <w:szCs w:val="20"/>
          <w:vertAlign w:val="subscript"/>
        </w:rPr>
        <w:t xml:space="preserve"> </w:t>
      </w:r>
      <w:r w:rsidR="00A0681A" w:rsidRPr="00462298">
        <w:rPr>
          <w:rFonts w:ascii="Palatino Linotype" w:hAnsi="Palatino Linotype" w:cs="Times New Roman"/>
          <w:sz w:val="20"/>
          <w:szCs w:val="20"/>
        </w:rPr>
        <w:t xml:space="preserve">carbons and is lower for </w:t>
      </w:r>
      <w:r w:rsidR="00FD0A80" w:rsidRPr="00462298">
        <w:rPr>
          <w:rFonts w:ascii="Palatino Linotype" w:hAnsi="Palatino Linotype" w:cs="Times New Roman"/>
          <w:sz w:val="20"/>
          <w:szCs w:val="20"/>
        </w:rPr>
        <w:t>CGO</w:t>
      </w:r>
      <w:r w:rsidR="00A0681A" w:rsidRPr="00462298">
        <w:rPr>
          <w:rFonts w:ascii="Palatino Linotype" w:hAnsi="Palatino Linotype" w:cs="Times New Roman"/>
          <w:sz w:val="20"/>
          <w:szCs w:val="20"/>
        </w:rPr>
        <w:t xml:space="preserve">, which implies that the oxidation occurred more </w:t>
      </w:r>
      <w:r w:rsidR="00E653F5" w:rsidRPr="00462298">
        <w:rPr>
          <w:rFonts w:ascii="Palatino Linotype" w:hAnsi="Palatino Linotype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36444F7" wp14:editId="473722B8">
            <wp:simplePos x="0" y="0"/>
            <wp:positionH relativeFrom="margin">
              <wp:posOffset>731520</wp:posOffset>
            </wp:positionH>
            <wp:positionV relativeFrom="paragraph">
              <wp:posOffset>624840</wp:posOffset>
            </wp:positionV>
            <wp:extent cx="4183380" cy="3323590"/>
            <wp:effectExtent l="0" t="0" r="7620" b="0"/>
            <wp:wrapTopAndBottom/>
            <wp:docPr id="39670681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06819" name="Εικόνα 3967068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81A" w:rsidRPr="00462298">
        <w:rPr>
          <w:rFonts w:ascii="Palatino Linotype" w:hAnsi="Palatino Linotype" w:cs="Times New Roman"/>
          <w:sz w:val="20"/>
          <w:szCs w:val="20"/>
        </w:rPr>
        <w:t>efficiently due to the increased number of carboxyl groups</w:t>
      </w:r>
      <w:r w:rsidR="00E653F5" w:rsidRPr="00462298">
        <w:rPr>
          <w:rFonts w:ascii="Palatino Linotype" w:hAnsi="Palatino Linotype" w:cs="Times New Roman"/>
          <w:sz w:val="20"/>
          <w:szCs w:val="20"/>
        </w:rPr>
        <w:t xml:space="preserve"> </w:t>
      </w:r>
      <w:r w:rsidR="00450FE8" w:rsidRPr="00462298">
        <w:rPr>
          <w:rFonts w:ascii="Palatino Linotype" w:hAnsi="Palatino Linotype" w:cs="Times New Roman"/>
          <w:sz w:val="20"/>
          <w:szCs w:val="20"/>
        </w:rPr>
        <w:t>[5]</w:t>
      </w:r>
      <w:r w:rsidR="00E653F5" w:rsidRPr="00462298">
        <w:rPr>
          <w:rFonts w:ascii="Palatino Linotype" w:hAnsi="Palatino Linotype" w:cs="Times New Roman"/>
          <w:sz w:val="20"/>
          <w:szCs w:val="20"/>
        </w:rPr>
        <w:t>.</w:t>
      </w:r>
      <w:r w:rsidR="00A0681A" w:rsidRPr="00462298">
        <w:rPr>
          <w:rFonts w:ascii="Palatino Linotype" w:hAnsi="Palatino Linotype" w:cs="Times New Roman"/>
          <w:sz w:val="20"/>
          <w:szCs w:val="20"/>
        </w:rPr>
        <w:t xml:space="preserve"> </w:t>
      </w:r>
    </w:p>
    <w:p w14:paraId="1713AC14" w14:textId="63E4630E" w:rsidR="00B94A69" w:rsidRPr="00462298" w:rsidRDefault="00B94A69" w:rsidP="00462298">
      <w:pPr>
        <w:spacing w:line="240" w:lineRule="auto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</w:p>
    <w:p w14:paraId="65B5643D" w14:textId="4E1DDF40" w:rsidR="00DC3396" w:rsidRPr="00462298" w:rsidRDefault="00D0230E" w:rsidP="00462298">
      <w:pPr>
        <w:spacing w:line="240" w:lineRule="auto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  <w:r w:rsidRPr="00462298">
        <w:rPr>
          <w:rFonts w:ascii="Palatino Linotype" w:hAnsi="Palatino Linotype" w:cs="Times New Roman"/>
          <w:b/>
          <w:bCs/>
          <w:sz w:val="20"/>
          <w:szCs w:val="20"/>
        </w:rPr>
        <w:t xml:space="preserve">  </w:t>
      </w:r>
      <w:r w:rsidR="00DC3396" w:rsidRPr="00462298">
        <w:rPr>
          <w:rFonts w:ascii="Palatino Linotype" w:hAnsi="Palatino Linotype" w:cs="Times New Roman"/>
          <w:b/>
          <w:bCs/>
          <w:sz w:val="20"/>
          <w:szCs w:val="20"/>
        </w:rPr>
        <w:t>Figure S3.</w:t>
      </w:r>
      <w:r w:rsidR="00DC3396" w:rsidRPr="00462298">
        <w:rPr>
          <w:rFonts w:ascii="Palatino Linotype" w:hAnsi="Palatino Linotype" w:cs="Times New Roman"/>
          <w:sz w:val="20"/>
          <w:szCs w:val="20"/>
        </w:rPr>
        <w:t xml:space="preserve"> Raman spectra of graphite (black line), GO (purple line) and CGO (green line).</w:t>
      </w:r>
    </w:p>
    <w:p w14:paraId="6F8DF4BA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4EEC52D7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6B5274F6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5D063B80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72FBF939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40D7D9F1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73C410CF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79E7AB44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3C6D0CEE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37784E0C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3F8B13A8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61F7A499" w14:textId="77777777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5A5C15C6" w14:textId="4B32A4F5" w:rsidR="005235C0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70EF1AF3" w14:textId="77777777" w:rsidR="00BA2B04" w:rsidRPr="00462298" w:rsidRDefault="00BA2B04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</w:p>
    <w:p w14:paraId="7E10BFCF" w14:textId="0AD86501" w:rsidR="005235C0" w:rsidRPr="00462298" w:rsidRDefault="005235C0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  <w:r w:rsidRPr="00462298">
        <w:rPr>
          <w:rFonts w:ascii="Palatino Linotype" w:eastAsia="Calibri" w:hAnsi="Palatino Linotype" w:cs="Times New Roman"/>
          <w:b/>
          <w:kern w:val="0"/>
          <w:sz w:val="20"/>
          <w:szCs w:val="20"/>
          <w14:ligatures w14:val="none"/>
        </w:rPr>
        <w:lastRenderedPageBreak/>
        <w:t>Figure S4.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:vertAlign w:val="superscript"/>
          <w14:ligatures w14:val="none"/>
        </w:rPr>
        <w:t>1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H NMR Spectra of A)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formulations, B) PEG (10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kDa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) -NH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:vertAlign w:val="subscript"/>
          <w14:ligatures w14:val="none"/>
        </w:rPr>
        <w:t>2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polymer, C)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-PEG(10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kDa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) formulations in D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:vertAlign w:val="subscript"/>
          <w14:ligatures w14:val="none"/>
        </w:rPr>
        <w:t>2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O. Comparatively of the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-PEG (C) spectra revealed a shift at 2.21 ppm attributed to the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methylene (–CH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:vertAlign w:val="subscript"/>
          <w14:ligatures w14:val="none"/>
        </w:rPr>
        <w:t>2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-) protons, varied weak peaks at the range 1.0 - 2.0 ppm of the aliphatic area attributed to the - CH - CH protons of GO, a peak at 3.69 ppm ascribed to the methylene (-CH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:vertAlign w:val="subscript"/>
          <w14:ligatures w14:val="none"/>
        </w:rPr>
        <w:t>2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-) protons of the PEG units and a peak at 8.5 ppm attributed to the aromatic protons of the graphite lattice</w:t>
      </w:r>
    </w:p>
    <w:p w14:paraId="4F30175D" w14:textId="41CB547F" w:rsidR="00B94A69" w:rsidRPr="00462298" w:rsidRDefault="005235C0" w:rsidP="00462298">
      <w:pPr>
        <w:spacing w:line="240" w:lineRule="auto"/>
        <w:jc w:val="center"/>
        <w:rPr>
          <w:rStyle w:val="hps"/>
          <w:rFonts w:ascii="Palatino Linotype" w:hAnsi="Palatino Linotype" w:cs="Times New Roman"/>
          <w:sz w:val="20"/>
          <w:szCs w:val="20"/>
        </w:rPr>
      </w:pPr>
      <w:r w:rsidRPr="00462298">
        <w:rPr>
          <w:rFonts w:ascii="Palatino Linotype" w:hAnsi="Palatino Linotype" w:cs="Times New Roman"/>
          <w:noProof/>
          <w:sz w:val="20"/>
          <w:szCs w:val="20"/>
        </w:rPr>
        <w:drawing>
          <wp:inline distT="0" distB="0" distL="0" distR="0" wp14:anchorId="307554AB" wp14:editId="203DF75E">
            <wp:extent cx="4702810" cy="7078980"/>
            <wp:effectExtent l="0" t="0" r="2540" b="76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B7D" w:rsidRPr="00462298">
        <w:rPr>
          <w:rFonts w:ascii="Palatino Linotype" w:hAnsi="Palatino Linotype" w:cs="Times New Roman"/>
          <w:sz w:val="20"/>
          <w:szCs w:val="20"/>
        </w:rPr>
        <w:fldChar w:fldCharType="begin"/>
      </w:r>
      <w:r w:rsidR="00EB2B7D" w:rsidRPr="00462298">
        <w:rPr>
          <w:rFonts w:ascii="Palatino Linotype" w:hAnsi="Palatino Linotype" w:cs="Times New Roman"/>
          <w:sz w:val="20"/>
          <w:szCs w:val="20"/>
        </w:rPr>
        <w:instrText xml:space="preserve"> ADDIN EN.REFLIST </w:instrText>
      </w:r>
      <w:r w:rsidR="00EB2B7D" w:rsidRPr="00462298">
        <w:rPr>
          <w:rFonts w:ascii="Palatino Linotype" w:hAnsi="Palatino Linotype" w:cs="Times New Roman"/>
          <w:sz w:val="20"/>
          <w:szCs w:val="20"/>
        </w:rPr>
        <w:fldChar w:fldCharType="end"/>
      </w:r>
    </w:p>
    <w:p w14:paraId="354B0F17" w14:textId="567354E7" w:rsidR="005235C0" w:rsidRPr="00462298" w:rsidRDefault="005235C0" w:rsidP="00462298">
      <w:pPr>
        <w:spacing w:before="240" w:after="240" w:line="240" w:lineRule="auto"/>
        <w:jc w:val="both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  <w:r w:rsidRPr="00462298">
        <w:rPr>
          <w:rFonts w:ascii="Palatino Linotype" w:eastAsia="Calibri" w:hAnsi="Palatino Linotype" w:cs="Times New Roman"/>
          <w:b/>
          <w:kern w:val="0"/>
          <w:sz w:val="20"/>
          <w:szCs w:val="20"/>
          <w14:ligatures w14:val="none"/>
        </w:rPr>
        <w:lastRenderedPageBreak/>
        <w:t>Figure S5.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TGA of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-PEG formulations (blue line) in comparison with the specific mPEG-NH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:vertAlign w:val="subscript"/>
          <w14:ligatures w14:val="none"/>
        </w:rPr>
        <w:t>2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polymer (red line) and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(black line). The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thermograms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are of A)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-</w:t>
      </w:r>
      <w:proofErr w:type="gram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PEG(</w:t>
      </w:r>
      <w:proofErr w:type="gram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2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kDa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), B)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-PEG(20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kDa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) and C) nCGO-4-arm PEG(10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kDa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). </w:t>
      </w:r>
    </w:p>
    <w:p w14:paraId="218D0CB1" w14:textId="3F13F570" w:rsidR="005235C0" w:rsidRPr="00462298" w:rsidRDefault="005235C0" w:rsidP="00462298">
      <w:pPr>
        <w:spacing w:before="240" w:after="240" w:line="240" w:lineRule="auto"/>
        <w:jc w:val="center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  <w:r w:rsidRPr="00462298">
        <w:rPr>
          <w:rFonts w:ascii="Palatino Linotype" w:hAnsi="Palatino Linotype" w:cs="Times New Roman"/>
          <w:noProof/>
          <w:sz w:val="20"/>
          <w:szCs w:val="20"/>
        </w:rPr>
        <w:drawing>
          <wp:inline distT="0" distB="0" distL="0" distR="0" wp14:anchorId="4A8460CD" wp14:editId="5382662C">
            <wp:extent cx="3937635" cy="7025640"/>
            <wp:effectExtent l="0" t="0" r="5715" b="38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9AFB" w14:textId="496B2DF1" w:rsidR="005235C0" w:rsidRPr="00462298" w:rsidRDefault="005235C0" w:rsidP="00462298">
      <w:pPr>
        <w:spacing w:before="240" w:after="240" w:line="240" w:lineRule="auto"/>
        <w:jc w:val="center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</w:p>
    <w:p w14:paraId="2D96B7FE" w14:textId="703D0C59" w:rsidR="00266F4F" w:rsidRPr="00462298" w:rsidRDefault="00266F4F" w:rsidP="00462298">
      <w:pPr>
        <w:spacing w:before="240" w:after="240" w:line="240" w:lineRule="auto"/>
        <w:jc w:val="both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  <w:r w:rsidRPr="00462298">
        <w:rPr>
          <w:rFonts w:ascii="Palatino Linotype" w:eastAsia="Calibri" w:hAnsi="Palatino Linotype" w:cs="Times New Roman"/>
          <w:b/>
          <w:kern w:val="0"/>
          <w:sz w:val="20"/>
          <w:szCs w:val="20"/>
          <w14:ligatures w14:val="none"/>
        </w:rPr>
        <w:lastRenderedPageBreak/>
        <w:t xml:space="preserve">Figure S6. 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TEM micrographs of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(A),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-</w:t>
      </w:r>
      <w:proofErr w:type="gram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PEG(</w:t>
      </w:r>
      <w:proofErr w:type="gram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2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kDa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) (B),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-PEG(20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kDa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) (C), and nCGO-4 arm PEG(10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kDa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). The scale bar in all micrographs is 200 nm.</w:t>
      </w:r>
    </w:p>
    <w:p w14:paraId="2FCE5556" w14:textId="672CC070" w:rsidR="005235C0" w:rsidRPr="00462298" w:rsidRDefault="00266F4F" w:rsidP="00462298">
      <w:pPr>
        <w:spacing w:before="240" w:after="240" w:line="240" w:lineRule="auto"/>
        <w:jc w:val="center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  <w:r w:rsidRPr="00462298">
        <w:rPr>
          <w:rFonts w:ascii="Palatino Linotype" w:hAnsi="Palatino Linotype" w:cs="Times New Roman"/>
          <w:noProof/>
          <w:sz w:val="20"/>
          <w:szCs w:val="20"/>
        </w:rPr>
        <w:drawing>
          <wp:inline distT="0" distB="0" distL="0" distR="0" wp14:anchorId="3ADF7B07" wp14:editId="2A7F9C6D">
            <wp:extent cx="4991100" cy="3826510"/>
            <wp:effectExtent l="0" t="0" r="0" b="254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900" cy="38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D0EF" w14:textId="3A6FB8B5" w:rsidR="00023986" w:rsidRPr="00462298" w:rsidRDefault="00023986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6B0DBDBC" w14:textId="33751A88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2E879C17" w14:textId="1089C2C2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1001401B" w14:textId="161FDFB6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5FD60762" w14:textId="3CCC1040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7B984954" w14:textId="57BFEF5A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794E3E10" w14:textId="12D06105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5F26C499" w14:textId="5A7D1A2A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0C61B200" w14:textId="1213E66F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207BFB08" w14:textId="3CDD4D0B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10E16907" w14:textId="5E03B5BB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4F5FBE72" w14:textId="48E888FD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1BDC3664" w14:textId="0FD7D886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669A5642" w14:textId="4FDC03D7" w:rsidR="00266F4F" w:rsidRPr="00462298" w:rsidRDefault="00266F4F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61E15D73" w14:textId="7A4D38D5" w:rsidR="00266F4F" w:rsidRPr="00462298" w:rsidRDefault="00266F4F" w:rsidP="00462298">
      <w:pPr>
        <w:spacing w:before="240" w:after="240" w:line="240" w:lineRule="auto"/>
        <w:jc w:val="both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  <w:r w:rsidRPr="00462298">
        <w:rPr>
          <w:rFonts w:ascii="Palatino Linotype" w:eastAsia="Calibri" w:hAnsi="Palatino Linotype" w:cs="Times New Roman"/>
          <w:b/>
          <w:kern w:val="0"/>
          <w:sz w:val="20"/>
          <w:szCs w:val="20"/>
          <w14:ligatures w14:val="none"/>
        </w:rPr>
        <w:lastRenderedPageBreak/>
        <w:t>Figure S7.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Colloidal stability of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and </w:t>
      </w:r>
      <w:proofErr w:type="spellStart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-PEG formulations in biological media (RPMI 1640, and PBS). Average variations of A) main peak by DLS and B) PDI</w:t>
      </w:r>
    </w:p>
    <w:p w14:paraId="468C27E5" w14:textId="14479C14" w:rsidR="00266F4F" w:rsidRPr="00462298" w:rsidRDefault="009C406C" w:rsidP="00462298">
      <w:pPr>
        <w:spacing w:line="240" w:lineRule="auto"/>
        <w:jc w:val="center"/>
        <w:rPr>
          <w:rStyle w:val="hps"/>
          <w:rFonts w:ascii="Palatino Linotype" w:hAnsi="Palatino Linotype" w:cs="Times New Roman"/>
          <w:sz w:val="20"/>
          <w:szCs w:val="20"/>
        </w:rPr>
      </w:pPr>
      <w:r w:rsidRPr="00462298">
        <w:rPr>
          <w:rFonts w:ascii="Palatino Linotype" w:hAnsi="Palatino Linotype" w:cs="Times New Roman"/>
          <w:noProof/>
          <w:sz w:val="20"/>
          <w:szCs w:val="20"/>
        </w:rPr>
        <w:drawing>
          <wp:inline distT="0" distB="0" distL="0" distR="0" wp14:anchorId="1A3B5514" wp14:editId="713BA160">
            <wp:extent cx="3413760" cy="3753781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757" cy="37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3B80" w14:textId="14176193" w:rsidR="005235C0" w:rsidRPr="00462298" w:rsidRDefault="005235C0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2AAAD120" w14:textId="49689C2A" w:rsidR="009C406C" w:rsidRPr="00462298" w:rsidRDefault="009C406C" w:rsidP="00462298">
      <w:pPr>
        <w:spacing w:before="240" w:after="240" w:line="240" w:lineRule="auto"/>
        <w:jc w:val="both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  <w:r w:rsidRPr="00462298">
        <w:rPr>
          <w:rFonts w:ascii="Palatino Linotype" w:eastAsia="Calibri" w:hAnsi="Palatino Linotype" w:cs="Times New Roman"/>
          <w:b/>
          <w:kern w:val="0"/>
          <w:sz w:val="20"/>
          <w:szCs w:val="20"/>
          <w14:ligatures w14:val="none"/>
        </w:rPr>
        <w:t>Figure S8.</w:t>
      </w:r>
      <w:r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</w:t>
      </w:r>
      <w:r w:rsidR="002854D7"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Cytotoxicity of </w:t>
      </w:r>
      <w:proofErr w:type="spellStart"/>
      <w:r w:rsidR="002854D7"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nCGO</w:t>
      </w:r>
      <w:proofErr w:type="spellEnd"/>
      <w:r w:rsidR="002854D7"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-</w:t>
      </w:r>
      <w:proofErr w:type="gramStart"/>
      <w:r w:rsidR="002854D7"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PEG(</w:t>
      </w:r>
      <w:proofErr w:type="gramEnd"/>
      <w:r w:rsidR="002854D7"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10 </w:t>
      </w:r>
      <w:proofErr w:type="spellStart"/>
      <w:r w:rsidR="002854D7"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kDa</w:t>
      </w:r>
      <w:proofErr w:type="spellEnd"/>
      <w:r w:rsidR="002854D7" w:rsidRPr="00462298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) against A549 cancer cells at 5 hours (h) of incubation</w:t>
      </w:r>
    </w:p>
    <w:p w14:paraId="60070E5B" w14:textId="74619DA2" w:rsidR="005235C0" w:rsidRPr="00462298" w:rsidRDefault="009C406C" w:rsidP="00462298">
      <w:pPr>
        <w:spacing w:line="240" w:lineRule="auto"/>
        <w:jc w:val="center"/>
        <w:rPr>
          <w:rStyle w:val="hps"/>
          <w:rFonts w:ascii="Palatino Linotype" w:hAnsi="Palatino Linotype" w:cs="Times New Roman"/>
          <w:sz w:val="20"/>
          <w:szCs w:val="20"/>
        </w:rPr>
      </w:pPr>
      <w:r w:rsidRPr="00462298">
        <w:rPr>
          <w:rFonts w:ascii="Palatino Linotype" w:hAnsi="Palatino Linotype" w:cs="Times New Roman"/>
          <w:noProof/>
          <w:sz w:val="20"/>
          <w:szCs w:val="20"/>
        </w:rPr>
        <w:drawing>
          <wp:inline distT="0" distB="0" distL="0" distR="0" wp14:anchorId="5FE954C6" wp14:editId="156612C3">
            <wp:extent cx="4213860" cy="2031264"/>
            <wp:effectExtent l="0" t="0" r="0" b="762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921" cy="203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12698" w14:textId="735B2CDD" w:rsidR="009C406C" w:rsidRPr="00462298" w:rsidRDefault="009C406C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0BD51E2A" w14:textId="6A1154FF" w:rsidR="009C406C" w:rsidRPr="00462298" w:rsidRDefault="009C406C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35F6AD94" w14:textId="0A6A8FC3" w:rsidR="009C406C" w:rsidRPr="00462298" w:rsidRDefault="009C406C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3519DBA5" w14:textId="58EFBA4A" w:rsidR="009C406C" w:rsidRPr="00462298" w:rsidRDefault="009C406C" w:rsidP="00462298">
      <w:pPr>
        <w:spacing w:line="240" w:lineRule="auto"/>
        <w:jc w:val="both"/>
        <w:rPr>
          <w:rStyle w:val="hps"/>
          <w:rFonts w:ascii="Palatino Linotype" w:hAnsi="Palatino Linotype" w:cs="Times New Roman"/>
          <w:sz w:val="20"/>
          <w:szCs w:val="20"/>
        </w:rPr>
      </w:pPr>
    </w:p>
    <w:p w14:paraId="6B01A47A" w14:textId="7CA87B88" w:rsidR="006107D9" w:rsidRPr="00462298" w:rsidRDefault="006107D9" w:rsidP="00462298">
      <w:pPr>
        <w:spacing w:line="240" w:lineRule="auto"/>
        <w:jc w:val="both"/>
        <w:rPr>
          <w:rFonts w:ascii="Palatino Linotype" w:hAnsi="Palatino Linotype" w:cs="Times New Roman"/>
          <w:b/>
          <w:sz w:val="20"/>
          <w:szCs w:val="20"/>
        </w:rPr>
      </w:pPr>
      <w:r w:rsidRPr="00462298">
        <w:rPr>
          <w:rFonts w:ascii="Palatino Linotype" w:hAnsi="Palatino Linotype" w:cs="Times New Roman"/>
          <w:b/>
          <w:sz w:val="20"/>
          <w:szCs w:val="20"/>
        </w:rPr>
        <w:lastRenderedPageBreak/>
        <w:t>References</w:t>
      </w:r>
    </w:p>
    <w:p w14:paraId="2F6A3F42" w14:textId="1608CF33" w:rsidR="00023986" w:rsidRPr="00462298" w:rsidRDefault="00023986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  <w:r w:rsidRPr="00462298">
        <w:rPr>
          <w:rFonts w:ascii="Palatino Linotype" w:hAnsi="Palatino Linotype" w:cs="Times New Roman"/>
          <w:sz w:val="20"/>
          <w:szCs w:val="20"/>
        </w:rPr>
        <w:t xml:space="preserve">[1]. </w:t>
      </w:r>
      <w:proofErr w:type="spellStart"/>
      <w:r w:rsidRPr="00462298">
        <w:rPr>
          <w:rFonts w:ascii="Palatino Linotype" w:hAnsi="Palatino Linotype" w:cs="Times New Roman"/>
          <w:sz w:val="20"/>
          <w:szCs w:val="20"/>
        </w:rPr>
        <w:t>Zygouri</w:t>
      </w:r>
      <w:proofErr w:type="spellEnd"/>
      <w:r w:rsidRPr="00462298">
        <w:rPr>
          <w:rFonts w:ascii="Palatino Linotype" w:hAnsi="Palatino Linotype" w:cs="Times New Roman"/>
          <w:sz w:val="20"/>
          <w:szCs w:val="20"/>
        </w:rPr>
        <w:t xml:space="preserve">, P.; </w:t>
      </w:r>
      <w:r w:rsidRPr="00462298">
        <w:rPr>
          <w:rFonts w:ascii="Palatino Linotype" w:hAnsi="Palatino Linotype" w:cs="Times New Roman"/>
          <w:noProof/>
          <w:sz w:val="20"/>
          <w:szCs w:val="20"/>
        </w:rPr>
        <w:t>Spyrou, K.; Papayannis, D.K.; Asimakopoulos, G.; Dounousi, E.; Stamatis, H.; Gournis, D.; Rudolf, P. Comparative Study of Various Graphene Oxide Structures as Efficient Drug Release Systems for Ibuprofen</w:t>
      </w:r>
      <w:r w:rsidR="00860157" w:rsidRPr="00462298">
        <w:rPr>
          <w:rFonts w:ascii="Palatino Linotype" w:hAnsi="Palatino Linotype" w:cs="Times New Roman"/>
          <w:noProof/>
          <w:sz w:val="20"/>
          <w:szCs w:val="20"/>
        </w:rPr>
        <w:t>.</w:t>
      </w:r>
      <w:r w:rsidRPr="00462298">
        <w:rPr>
          <w:rFonts w:ascii="Palatino Linotype" w:hAnsi="Palatino Linotype" w:cs="Times New Roman"/>
          <w:noProof/>
          <w:sz w:val="20"/>
          <w:szCs w:val="20"/>
        </w:rPr>
        <w:t xml:space="preserve"> </w:t>
      </w:r>
      <w:r w:rsidRPr="00462298">
        <w:rPr>
          <w:rFonts w:ascii="Palatino Linotype" w:hAnsi="Palatino Linotype" w:cs="Times New Roman"/>
          <w:i/>
          <w:iCs/>
          <w:noProof/>
          <w:sz w:val="20"/>
          <w:szCs w:val="20"/>
        </w:rPr>
        <w:t xml:space="preserve">AppliedChem 2(2) </w:t>
      </w:r>
      <w:r w:rsidRPr="00462298">
        <w:rPr>
          <w:rFonts w:ascii="Palatino Linotype" w:hAnsi="Palatino Linotype" w:cs="Times New Roman"/>
          <w:b/>
          <w:bCs/>
          <w:i/>
          <w:iCs/>
          <w:noProof/>
          <w:sz w:val="20"/>
          <w:szCs w:val="20"/>
        </w:rPr>
        <w:t>2022</w:t>
      </w:r>
      <w:r w:rsidR="009561FB" w:rsidRPr="00462298">
        <w:rPr>
          <w:rFonts w:ascii="Palatino Linotype" w:hAnsi="Palatino Linotype" w:cs="Times New Roman"/>
          <w:i/>
          <w:iCs/>
          <w:noProof/>
          <w:sz w:val="20"/>
          <w:szCs w:val="20"/>
        </w:rPr>
        <w:t>,</w:t>
      </w:r>
      <w:r w:rsidRPr="00462298">
        <w:rPr>
          <w:rFonts w:ascii="Palatino Linotype" w:hAnsi="Palatino Linotype" w:cs="Times New Roman"/>
          <w:i/>
          <w:iCs/>
          <w:noProof/>
          <w:sz w:val="20"/>
          <w:szCs w:val="20"/>
        </w:rPr>
        <w:t xml:space="preserve"> 93-105</w:t>
      </w:r>
      <w:r w:rsidRPr="00462298">
        <w:rPr>
          <w:rFonts w:ascii="Palatino Linotype" w:hAnsi="Palatino Linotype" w:cs="Times New Roman"/>
          <w:sz w:val="20"/>
          <w:szCs w:val="20"/>
        </w:rPr>
        <w:t>.</w:t>
      </w:r>
      <w:r w:rsidR="00860157" w:rsidRPr="00462298">
        <w:rPr>
          <w:rFonts w:ascii="Palatino Linotype" w:hAnsi="Palatino Linotype" w:cs="Times New Roman"/>
          <w:sz w:val="20"/>
          <w:szCs w:val="20"/>
        </w:rPr>
        <w:t xml:space="preserve"> </w:t>
      </w:r>
      <w:hyperlink r:id="rId15" w:history="1">
        <w:r w:rsidR="00860157" w:rsidRPr="00462298">
          <w:rPr>
            <w:rStyle w:val="-"/>
            <w:rFonts w:ascii="Palatino Linotype" w:hAnsi="Palatino Linotype" w:cs="Times New Roman"/>
            <w:sz w:val="20"/>
            <w:szCs w:val="20"/>
          </w:rPr>
          <w:t>https://doi.org/10.3390/appliedchem2020006</w:t>
        </w:r>
      </w:hyperlink>
    </w:p>
    <w:p w14:paraId="1946FDE9" w14:textId="61AC7F28" w:rsidR="00023986" w:rsidRPr="00462298" w:rsidRDefault="00023986" w:rsidP="00462298">
      <w:pPr>
        <w:pStyle w:val="EndNoteBibliography"/>
        <w:spacing w:after="0"/>
        <w:rPr>
          <w:rFonts w:ascii="Palatino Linotype" w:hAnsi="Palatino Linotype" w:cs="Times New Roman"/>
          <w:sz w:val="20"/>
          <w:szCs w:val="20"/>
        </w:rPr>
      </w:pPr>
      <w:r w:rsidRPr="00462298">
        <w:rPr>
          <w:rFonts w:ascii="Palatino Linotype" w:hAnsi="Palatino Linotype" w:cs="Times New Roman"/>
          <w:sz w:val="20"/>
          <w:szCs w:val="20"/>
        </w:rPr>
        <w:t>[2]. Travlou, N.A.; Kyzas,</w:t>
      </w:r>
      <w:r w:rsidR="009561FB" w:rsidRPr="00462298">
        <w:rPr>
          <w:rFonts w:ascii="Palatino Linotype" w:hAnsi="Palatino Linotype" w:cs="Times New Roman"/>
          <w:sz w:val="20"/>
          <w:szCs w:val="20"/>
        </w:rPr>
        <w:t xml:space="preserve"> G.Z.;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Lazaridis,</w:t>
      </w:r>
      <w:r w:rsidR="009561FB" w:rsidRPr="00462298">
        <w:rPr>
          <w:rFonts w:ascii="Palatino Linotype" w:hAnsi="Palatino Linotype" w:cs="Times New Roman"/>
          <w:sz w:val="20"/>
          <w:szCs w:val="20"/>
        </w:rPr>
        <w:t xml:space="preserve"> N.K.;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Deliyanni,</w:t>
      </w:r>
      <w:r w:rsidR="009561FB" w:rsidRPr="00462298">
        <w:rPr>
          <w:rFonts w:ascii="Palatino Linotype" w:hAnsi="Palatino Linotype" w:cs="Times New Roman"/>
          <w:sz w:val="20"/>
          <w:szCs w:val="20"/>
        </w:rPr>
        <w:t xml:space="preserve"> E.A.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Functionalization of Graphite Oxide with Magnetic Chitosan for the Preparation of a Nanocomposite Dye Adsorbent</w:t>
      </w:r>
      <w:r w:rsidR="00860157" w:rsidRPr="00462298">
        <w:rPr>
          <w:rFonts w:ascii="Palatino Linotype" w:hAnsi="Palatino Linotype" w:cs="Times New Roman"/>
          <w:sz w:val="20"/>
          <w:szCs w:val="20"/>
        </w:rPr>
        <w:t>.</w:t>
      </w:r>
      <w:r w:rsidRPr="00462298">
        <w:rPr>
          <w:rFonts w:ascii="Palatino Linotype" w:hAnsi="Palatino Linotype" w:cs="Times New Roman"/>
          <w:sz w:val="20"/>
          <w:szCs w:val="20"/>
        </w:rPr>
        <w:t xml:space="preserve"> </w:t>
      </w:r>
      <w:r w:rsidRPr="00462298">
        <w:rPr>
          <w:rFonts w:ascii="Palatino Linotype" w:hAnsi="Palatino Linotype" w:cs="Times New Roman"/>
          <w:i/>
          <w:iCs/>
          <w:sz w:val="20"/>
          <w:szCs w:val="20"/>
        </w:rPr>
        <w:t xml:space="preserve">Langmuir 29(5) </w:t>
      </w:r>
      <w:r w:rsidRPr="00462298">
        <w:rPr>
          <w:rFonts w:ascii="Palatino Linotype" w:hAnsi="Palatino Linotype" w:cs="Times New Roman"/>
          <w:b/>
          <w:bCs/>
          <w:i/>
          <w:iCs/>
          <w:sz w:val="20"/>
          <w:szCs w:val="20"/>
        </w:rPr>
        <w:t>2013</w:t>
      </w:r>
      <w:r w:rsidR="009561FB" w:rsidRPr="00462298">
        <w:rPr>
          <w:rFonts w:ascii="Palatino Linotype" w:hAnsi="Palatino Linotype" w:cs="Times New Roman"/>
          <w:i/>
          <w:iCs/>
          <w:sz w:val="20"/>
          <w:szCs w:val="20"/>
        </w:rPr>
        <w:t>,</w:t>
      </w:r>
      <w:r w:rsidRPr="00462298">
        <w:rPr>
          <w:rFonts w:ascii="Palatino Linotype" w:hAnsi="Palatino Linotype" w:cs="Times New Roman"/>
          <w:i/>
          <w:iCs/>
          <w:sz w:val="20"/>
          <w:szCs w:val="20"/>
        </w:rPr>
        <w:t xml:space="preserve"> 1657-1668.</w:t>
      </w:r>
      <w:r w:rsidR="00860157" w:rsidRPr="00462298">
        <w:rPr>
          <w:rFonts w:ascii="Palatino Linotype" w:hAnsi="Palatino Linotype" w:cs="Times New Roman"/>
          <w:i/>
          <w:iCs/>
          <w:sz w:val="20"/>
          <w:szCs w:val="20"/>
        </w:rPr>
        <w:t xml:space="preserve"> </w:t>
      </w:r>
      <w:hyperlink r:id="rId16" w:tooltip="DOI URL" w:history="1">
        <w:r w:rsidR="00860157" w:rsidRPr="00462298">
          <w:rPr>
            <w:rStyle w:val="-"/>
            <w:rFonts w:ascii="Palatino Linotype" w:hAnsi="Palatino Linotype" w:cs="Times New Roman"/>
            <w:sz w:val="20"/>
            <w:szCs w:val="20"/>
          </w:rPr>
          <w:t>https://doi.org/10.1021/la304696y</w:t>
        </w:r>
      </w:hyperlink>
    </w:p>
    <w:p w14:paraId="60A67B62" w14:textId="77777777" w:rsidR="009561FB" w:rsidRPr="00462298" w:rsidRDefault="009561FB" w:rsidP="00462298">
      <w:pPr>
        <w:pStyle w:val="EndNoteBibliography"/>
        <w:spacing w:after="0"/>
        <w:rPr>
          <w:rFonts w:ascii="Palatino Linotype" w:hAnsi="Palatino Linotype" w:cs="Times New Roman"/>
          <w:i/>
          <w:iCs/>
          <w:sz w:val="20"/>
          <w:szCs w:val="20"/>
        </w:rPr>
      </w:pPr>
    </w:p>
    <w:p w14:paraId="3C7CC164" w14:textId="16D7AB7D" w:rsidR="009561FB" w:rsidRPr="00462298" w:rsidRDefault="009561FB" w:rsidP="00462298">
      <w:pPr>
        <w:spacing w:line="240" w:lineRule="auto"/>
        <w:jc w:val="both"/>
        <w:rPr>
          <w:rFonts w:ascii="Palatino Linotype" w:hAnsi="Palatino Linotype" w:cs="Times New Roman"/>
          <w:noProof/>
          <w:sz w:val="20"/>
          <w:szCs w:val="20"/>
        </w:rPr>
      </w:pPr>
      <w:r w:rsidRPr="00462298">
        <w:rPr>
          <w:rFonts w:ascii="Palatino Linotype" w:hAnsi="Palatino Linotype" w:cs="Times New Roman"/>
          <w:sz w:val="20"/>
          <w:szCs w:val="20"/>
        </w:rPr>
        <w:t xml:space="preserve">[3]. </w:t>
      </w:r>
      <w:r w:rsidRPr="00462298">
        <w:rPr>
          <w:rFonts w:ascii="Palatino Linotype" w:hAnsi="Palatino Linotype" w:cs="Times New Roman"/>
          <w:noProof/>
          <w:sz w:val="20"/>
          <w:szCs w:val="20"/>
        </w:rPr>
        <w:t>Jin, Z.; Wang, X.; Sun, Y.; Ai, Y.; Wang, X. Adsorption of 4-n-Nonylphenol and Bisphenol-A on Magnetic Reduced Graphene Oxides: A Combined Experimental and Theoretical Studies</w:t>
      </w:r>
      <w:r w:rsidR="00860157" w:rsidRPr="00462298">
        <w:rPr>
          <w:rFonts w:ascii="Palatino Linotype" w:hAnsi="Palatino Linotype" w:cs="Times New Roman"/>
          <w:noProof/>
          <w:sz w:val="20"/>
          <w:szCs w:val="20"/>
        </w:rPr>
        <w:t>.</w:t>
      </w:r>
      <w:r w:rsidRPr="00462298">
        <w:rPr>
          <w:rFonts w:ascii="Palatino Linotype" w:hAnsi="Palatino Linotype" w:cs="Times New Roman"/>
          <w:noProof/>
          <w:sz w:val="20"/>
          <w:szCs w:val="20"/>
        </w:rPr>
        <w:t xml:space="preserve"> </w:t>
      </w:r>
      <w:r w:rsidRPr="00462298">
        <w:rPr>
          <w:rFonts w:ascii="Palatino Linotype" w:hAnsi="Palatino Linotype" w:cs="Times New Roman"/>
          <w:i/>
          <w:iCs/>
          <w:noProof/>
          <w:sz w:val="20"/>
          <w:szCs w:val="20"/>
        </w:rPr>
        <w:t xml:space="preserve">Environmental Science &amp; Technology 49(15) </w:t>
      </w:r>
      <w:r w:rsidRPr="00462298">
        <w:rPr>
          <w:rFonts w:ascii="Palatino Linotype" w:hAnsi="Palatino Linotype" w:cs="Times New Roman"/>
          <w:b/>
          <w:bCs/>
          <w:i/>
          <w:iCs/>
          <w:noProof/>
          <w:sz w:val="20"/>
          <w:szCs w:val="20"/>
        </w:rPr>
        <w:t>2015</w:t>
      </w:r>
      <w:r w:rsidRPr="00462298">
        <w:rPr>
          <w:rFonts w:ascii="Palatino Linotype" w:hAnsi="Palatino Linotype" w:cs="Times New Roman"/>
          <w:i/>
          <w:iCs/>
          <w:noProof/>
          <w:sz w:val="20"/>
          <w:szCs w:val="20"/>
        </w:rPr>
        <w:t>, 9168-9175</w:t>
      </w:r>
      <w:r w:rsidRPr="00462298">
        <w:rPr>
          <w:rFonts w:ascii="Palatino Linotype" w:hAnsi="Palatino Linotype" w:cs="Times New Roman"/>
          <w:noProof/>
          <w:sz w:val="20"/>
          <w:szCs w:val="20"/>
        </w:rPr>
        <w:t>.</w:t>
      </w:r>
      <w:r w:rsidR="00860157" w:rsidRPr="00462298">
        <w:rPr>
          <w:rFonts w:ascii="Palatino Linotype" w:hAnsi="Palatino Linotype" w:cs="Times New Roman"/>
          <w:noProof/>
          <w:sz w:val="20"/>
          <w:szCs w:val="20"/>
        </w:rPr>
        <w:t xml:space="preserve"> </w:t>
      </w:r>
      <w:hyperlink r:id="rId17" w:tooltip="DOI URL" w:history="1">
        <w:r w:rsidR="00860157" w:rsidRPr="00462298">
          <w:rPr>
            <w:rStyle w:val="-"/>
            <w:rFonts w:ascii="Palatino Linotype" w:hAnsi="Palatino Linotype" w:cs="Times New Roman"/>
            <w:noProof/>
            <w:sz w:val="20"/>
            <w:szCs w:val="20"/>
          </w:rPr>
          <w:t>https://doi.org/10.1021/acs.est.5b02022</w:t>
        </w:r>
      </w:hyperlink>
    </w:p>
    <w:p w14:paraId="1BE00E61" w14:textId="7011A407" w:rsidR="009561FB" w:rsidRPr="00462298" w:rsidRDefault="009561FB" w:rsidP="00462298">
      <w:pPr>
        <w:spacing w:line="240" w:lineRule="auto"/>
        <w:jc w:val="both"/>
        <w:rPr>
          <w:rFonts w:ascii="Palatino Linotype" w:hAnsi="Palatino Linotype" w:cs="Times New Roman"/>
          <w:noProof/>
          <w:sz w:val="20"/>
          <w:szCs w:val="20"/>
        </w:rPr>
      </w:pPr>
      <w:r w:rsidRPr="00462298">
        <w:rPr>
          <w:rFonts w:ascii="Palatino Linotype" w:hAnsi="Palatino Linotype" w:cs="Times New Roman"/>
          <w:noProof/>
          <w:sz w:val="20"/>
          <w:szCs w:val="20"/>
        </w:rPr>
        <w:t>[4]. Chen, Y.; Xie, B.; Ren, Y.; Yu, M.; Qu, Y.; Xie, T.; Zhang, Y.; Wu, Y. Designed nitrogen doping of few-layer graphene functionalized by selective oxygenic groups</w:t>
      </w:r>
      <w:r w:rsidR="00860157" w:rsidRPr="00462298">
        <w:rPr>
          <w:rFonts w:ascii="Palatino Linotype" w:hAnsi="Palatino Linotype" w:cs="Times New Roman"/>
          <w:noProof/>
          <w:sz w:val="20"/>
          <w:szCs w:val="20"/>
        </w:rPr>
        <w:t>.</w:t>
      </w:r>
      <w:r w:rsidRPr="00462298">
        <w:rPr>
          <w:rFonts w:ascii="Palatino Linotype" w:hAnsi="Palatino Linotype" w:cs="Times New Roman"/>
          <w:noProof/>
          <w:sz w:val="20"/>
          <w:szCs w:val="20"/>
        </w:rPr>
        <w:t xml:space="preserve"> </w:t>
      </w:r>
      <w:r w:rsidRPr="00462298">
        <w:rPr>
          <w:rFonts w:ascii="Palatino Linotype" w:hAnsi="Palatino Linotype" w:cs="Times New Roman"/>
          <w:i/>
          <w:iCs/>
          <w:noProof/>
          <w:sz w:val="20"/>
          <w:szCs w:val="20"/>
        </w:rPr>
        <w:t>Nanoscale Research Letters 9(1)</w:t>
      </w:r>
      <w:r w:rsidRPr="00462298">
        <w:rPr>
          <w:rFonts w:ascii="Palatino Linotype" w:hAnsi="Palatino Linotype" w:cs="Times New Roman"/>
          <w:b/>
          <w:bCs/>
          <w:i/>
          <w:iCs/>
          <w:noProof/>
          <w:sz w:val="20"/>
          <w:szCs w:val="20"/>
        </w:rPr>
        <w:t xml:space="preserve"> 2014</w:t>
      </w:r>
      <w:r w:rsidRPr="00462298">
        <w:rPr>
          <w:rFonts w:ascii="Palatino Linotype" w:hAnsi="Palatino Linotype" w:cs="Times New Roman"/>
          <w:i/>
          <w:iCs/>
          <w:noProof/>
          <w:sz w:val="20"/>
          <w:szCs w:val="20"/>
        </w:rPr>
        <w:t>, 646</w:t>
      </w:r>
      <w:r w:rsidRPr="00462298">
        <w:rPr>
          <w:rFonts w:ascii="Palatino Linotype" w:hAnsi="Palatino Linotype" w:cs="Times New Roman"/>
          <w:noProof/>
          <w:sz w:val="20"/>
          <w:szCs w:val="20"/>
        </w:rPr>
        <w:t>.</w:t>
      </w:r>
      <w:r w:rsidR="00860157" w:rsidRPr="00462298">
        <w:rPr>
          <w:rFonts w:ascii="Palatino Linotype" w:hAnsi="Palatino Linotype" w:cs="Times New Roman"/>
          <w:noProof/>
          <w:sz w:val="20"/>
          <w:szCs w:val="20"/>
        </w:rPr>
        <w:t xml:space="preserve"> </w:t>
      </w:r>
      <w:hyperlink r:id="rId18" w:history="1">
        <w:r w:rsidR="00860157" w:rsidRPr="00462298">
          <w:rPr>
            <w:rStyle w:val="-"/>
            <w:rFonts w:ascii="Palatino Linotype" w:hAnsi="Palatino Linotype" w:cs="Times New Roman"/>
            <w:noProof/>
            <w:sz w:val="20"/>
            <w:szCs w:val="20"/>
          </w:rPr>
          <w:t>https://doi.org/10.1186/1556-276X-9-646</w:t>
        </w:r>
      </w:hyperlink>
    </w:p>
    <w:p w14:paraId="66B06DBA" w14:textId="63A196A3" w:rsidR="009561FB" w:rsidRPr="00462298" w:rsidRDefault="009561FB" w:rsidP="00462298">
      <w:pPr>
        <w:spacing w:line="240" w:lineRule="auto"/>
        <w:jc w:val="both"/>
        <w:rPr>
          <w:rFonts w:ascii="Palatino Linotype" w:hAnsi="Palatino Linotype" w:cs="Times New Roman"/>
          <w:sz w:val="20"/>
          <w:szCs w:val="20"/>
        </w:rPr>
      </w:pPr>
      <w:r w:rsidRPr="00462298">
        <w:rPr>
          <w:rFonts w:ascii="Palatino Linotype" w:hAnsi="Palatino Linotype" w:cs="Times New Roman"/>
          <w:noProof/>
          <w:sz w:val="20"/>
          <w:szCs w:val="20"/>
        </w:rPr>
        <w:t>[5]. Zhan, D.; Ni, Z. ; Chen, W.; Sun, L.; Luo, Z.; Lai, L.; Yu, T.; Wee, A.T.S.; Shen, Z. Electronic structure of graphite oxide and thermally reduced graphite oxide</w:t>
      </w:r>
      <w:r w:rsidR="00860157" w:rsidRPr="00462298">
        <w:rPr>
          <w:rFonts w:ascii="Palatino Linotype" w:hAnsi="Palatino Linotype" w:cs="Times New Roman"/>
          <w:noProof/>
          <w:sz w:val="20"/>
          <w:szCs w:val="20"/>
        </w:rPr>
        <w:t>.</w:t>
      </w:r>
      <w:r w:rsidRPr="00462298">
        <w:rPr>
          <w:rFonts w:ascii="Palatino Linotype" w:hAnsi="Palatino Linotype" w:cs="Times New Roman"/>
          <w:noProof/>
          <w:sz w:val="20"/>
          <w:szCs w:val="20"/>
        </w:rPr>
        <w:t xml:space="preserve"> </w:t>
      </w:r>
      <w:r w:rsidRPr="00462298">
        <w:rPr>
          <w:rFonts w:ascii="Palatino Linotype" w:hAnsi="Palatino Linotype" w:cs="Times New Roman"/>
          <w:i/>
          <w:iCs/>
          <w:noProof/>
          <w:sz w:val="20"/>
          <w:szCs w:val="20"/>
        </w:rPr>
        <w:t xml:space="preserve">Carbon 49(4) </w:t>
      </w:r>
      <w:r w:rsidRPr="00462298">
        <w:rPr>
          <w:rFonts w:ascii="Palatino Linotype" w:hAnsi="Palatino Linotype" w:cs="Times New Roman"/>
          <w:b/>
          <w:bCs/>
          <w:i/>
          <w:iCs/>
          <w:noProof/>
          <w:sz w:val="20"/>
          <w:szCs w:val="20"/>
        </w:rPr>
        <w:t>2011</w:t>
      </w:r>
      <w:r w:rsidRPr="00462298">
        <w:rPr>
          <w:rFonts w:ascii="Palatino Linotype" w:hAnsi="Palatino Linotype" w:cs="Times New Roman"/>
          <w:i/>
          <w:iCs/>
          <w:noProof/>
          <w:sz w:val="20"/>
          <w:szCs w:val="20"/>
        </w:rPr>
        <w:t>, 1362-1366.</w:t>
      </w:r>
      <w:r w:rsidR="00860157" w:rsidRPr="00462298">
        <w:rPr>
          <w:rFonts w:ascii="Palatino Linotype" w:hAnsi="Palatino Linotype" w:cs="Times New Roman"/>
          <w:i/>
          <w:iCs/>
          <w:noProof/>
          <w:sz w:val="20"/>
          <w:szCs w:val="20"/>
        </w:rPr>
        <w:t xml:space="preserve"> </w:t>
      </w:r>
      <w:hyperlink r:id="rId19" w:history="1">
        <w:r w:rsidR="00860157" w:rsidRPr="00462298">
          <w:rPr>
            <w:rStyle w:val="-"/>
            <w:rFonts w:ascii="Palatino Linotype" w:hAnsi="Palatino Linotype" w:cs="Times New Roman"/>
            <w:sz w:val="20"/>
            <w:szCs w:val="20"/>
          </w:rPr>
          <w:t>https://doi.org/10.1016/j.carbon.2010.12.002</w:t>
        </w:r>
      </w:hyperlink>
    </w:p>
    <w:sectPr w:rsidR="009561FB" w:rsidRPr="00462298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D6AF2A" w14:textId="77777777" w:rsidR="001B6329" w:rsidRDefault="001B6329" w:rsidP="005235C0">
      <w:pPr>
        <w:spacing w:after="0" w:line="240" w:lineRule="auto"/>
      </w:pPr>
      <w:r>
        <w:separator/>
      </w:r>
    </w:p>
  </w:endnote>
  <w:endnote w:type="continuationSeparator" w:id="0">
    <w:p w14:paraId="65C40E92" w14:textId="77777777" w:rsidR="001B6329" w:rsidRDefault="001B6329" w:rsidP="00523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1471440"/>
      <w:docPartObj>
        <w:docPartGallery w:val="Page Numbers (Bottom of Page)"/>
        <w:docPartUnique/>
      </w:docPartObj>
    </w:sdtPr>
    <w:sdtEndPr/>
    <w:sdtContent>
      <w:p w14:paraId="0DF7B88B" w14:textId="75E52EBF" w:rsidR="005235C0" w:rsidRDefault="005235C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7123" w:rsidRPr="00D87123">
          <w:rPr>
            <w:noProof/>
            <w:lang w:val="el-GR"/>
          </w:rPr>
          <w:t>9</w:t>
        </w:r>
        <w:r>
          <w:fldChar w:fldCharType="end"/>
        </w:r>
      </w:p>
    </w:sdtContent>
  </w:sdt>
  <w:p w14:paraId="1C3F73B8" w14:textId="77777777" w:rsidR="005235C0" w:rsidRDefault="005235C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075C3" w14:textId="77777777" w:rsidR="001B6329" w:rsidRDefault="001B6329" w:rsidP="005235C0">
      <w:pPr>
        <w:spacing w:after="0" w:line="240" w:lineRule="auto"/>
      </w:pPr>
      <w:r>
        <w:separator/>
      </w:r>
    </w:p>
  </w:footnote>
  <w:footnote w:type="continuationSeparator" w:id="0">
    <w:p w14:paraId="79BF44D8" w14:textId="77777777" w:rsidR="001B6329" w:rsidRDefault="001B6329" w:rsidP="00523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rbon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d2dzaewce955kex996xsp9twapv0s5avrat&quot;&gt;My EndNote Library1&lt;record-ids&gt;&lt;item&gt;793&lt;/item&gt;&lt;/record-ids&gt;&lt;/item&gt;&lt;/Libraries&gt;"/>
  </w:docVars>
  <w:rsids>
    <w:rsidRoot w:val="007C30AD"/>
    <w:rsid w:val="00015C22"/>
    <w:rsid w:val="00023986"/>
    <w:rsid w:val="00044288"/>
    <w:rsid w:val="000835F5"/>
    <w:rsid w:val="000A1BC5"/>
    <w:rsid w:val="000D7462"/>
    <w:rsid w:val="0011374A"/>
    <w:rsid w:val="00127EEA"/>
    <w:rsid w:val="00142BB3"/>
    <w:rsid w:val="001656DD"/>
    <w:rsid w:val="001849FD"/>
    <w:rsid w:val="001B26E4"/>
    <w:rsid w:val="001B6329"/>
    <w:rsid w:val="001B7C06"/>
    <w:rsid w:val="001E7A33"/>
    <w:rsid w:val="002178BB"/>
    <w:rsid w:val="00266F4F"/>
    <w:rsid w:val="00271B75"/>
    <w:rsid w:val="002854D7"/>
    <w:rsid w:val="00286081"/>
    <w:rsid w:val="002A4856"/>
    <w:rsid w:val="002F21D7"/>
    <w:rsid w:val="003066C0"/>
    <w:rsid w:val="00345961"/>
    <w:rsid w:val="00366E91"/>
    <w:rsid w:val="00377A25"/>
    <w:rsid w:val="003A3E43"/>
    <w:rsid w:val="00450FE8"/>
    <w:rsid w:val="00462298"/>
    <w:rsid w:val="00491F87"/>
    <w:rsid w:val="00516F96"/>
    <w:rsid w:val="005235C0"/>
    <w:rsid w:val="00570E28"/>
    <w:rsid w:val="005911BC"/>
    <w:rsid w:val="005A7B20"/>
    <w:rsid w:val="006107D9"/>
    <w:rsid w:val="00613750"/>
    <w:rsid w:val="006150EB"/>
    <w:rsid w:val="00615A25"/>
    <w:rsid w:val="00650B1B"/>
    <w:rsid w:val="006A2166"/>
    <w:rsid w:val="006F3037"/>
    <w:rsid w:val="007228D3"/>
    <w:rsid w:val="00774A84"/>
    <w:rsid w:val="007878B3"/>
    <w:rsid w:val="007B1A24"/>
    <w:rsid w:val="007C30AD"/>
    <w:rsid w:val="008538AA"/>
    <w:rsid w:val="00860157"/>
    <w:rsid w:val="00882623"/>
    <w:rsid w:val="008F5A04"/>
    <w:rsid w:val="009076F7"/>
    <w:rsid w:val="009561FB"/>
    <w:rsid w:val="009B4B87"/>
    <w:rsid w:val="009C406C"/>
    <w:rsid w:val="009C5D8F"/>
    <w:rsid w:val="009E5DD1"/>
    <w:rsid w:val="009F506B"/>
    <w:rsid w:val="00A0681A"/>
    <w:rsid w:val="00A466A2"/>
    <w:rsid w:val="00A86DC6"/>
    <w:rsid w:val="00AA00B3"/>
    <w:rsid w:val="00AA43E8"/>
    <w:rsid w:val="00AB224E"/>
    <w:rsid w:val="00AC21AD"/>
    <w:rsid w:val="00B5095E"/>
    <w:rsid w:val="00B515A1"/>
    <w:rsid w:val="00B53DD3"/>
    <w:rsid w:val="00B55B49"/>
    <w:rsid w:val="00B94A69"/>
    <w:rsid w:val="00BA2B04"/>
    <w:rsid w:val="00BD42F7"/>
    <w:rsid w:val="00BD6996"/>
    <w:rsid w:val="00C35A68"/>
    <w:rsid w:val="00C76B62"/>
    <w:rsid w:val="00CB0C68"/>
    <w:rsid w:val="00D0230E"/>
    <w:rsid w:val="00D13F31"/>
    <w:rsid w:val="00D20E98"/>
    <w:rsid w:val="00D2247B"/>
    <w:rsid w:val="00D66FAD"/>
    <w:rsid w:val="00D87123"/>
    <w:rsid w:val="00DC3396"/>
    <w:rsid w:val="00DD1FA2"/>
    <w:rsid w:val="00DD306A"/>
    <w:rsid w:val="00E00193"/>
    <w:rsid w:val="00E304F8"/>
    <w:rsid w:val="00E621B5"/>
    <w:rsid w:val="00E653F5"/>
    <w:rsid w:val="00EB2B7D"/>
    <w:rsid w:val="00EB2CC9"/>
    <w:rsid w:val="00F519A1"/>
    <w:rsid w:val="00F51A9B"/>
    <w:rsid w:val="00F6064D"/>
    <w:rsid w:val="00FB689A"/>
    <w:rsid w:val="00FD0A80"/>
    <w:rsid w:val="00FD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33A9F4"/>
  <w15:chartTrackingRefBased/>
  <w15:docId w15:val="{739645C0-F1C2-4796-9BD9-6F445778A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42BB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42BB3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Char"/>
    <w:rsid w:val="00EB2B7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EB2B7D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EB2B7D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EB2B7D"/>
    <w:rPr>
      <w:rFonts w:ascii="Calibri" w:hAnsi="Calibri" w:cs="Calibri"/>
      <w:noProof/>
    </w:rPr>
  </w:style>
  <w:style w:type="character" w:customStyle="1" w:styleId="hps">
    <w:name w:val="hps"/>
    <w:basedOn w:val="a0"/>
    <w:rsid w:val="00023986"/>
  </w:style>
  <w:style w:type="character" w:styleId="a3">
    <w:name w:val="annotation reference"/>
    <w:basedOn w:val="a0"/>
    <w:uiPriority w:val="99"/>
    <w:semiHidden/>
    <w:unhideWhenUsed/>
    <w:rsid w:val="009561FB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9561FB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4"/>
    <w:uiPriority w:val="99"/>
    <w:semiHidden/>
    <w:rsid w:val="009561FB"/>
    <w:rPr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9561FB"/>
    <w:rPr>
      <w:b/>
      <w:bCs/>
    </w:rPr>
  </w:style>
  <w:style w:type="character" w:customStyle="1" w:styleId="Char0">
    <w:name w:val="Θέμα σχολίου Char"/>
    <w:basedOn w:val="Char"/>
    <w:link w:val="a5"/>
    <w:uiPriority w:val="99"/>
    <w:semiHidden/>
    <w:rsid w:val="009561FB"/>
    <w:rPr>
      <w:b/>
      <w:bCs/>
      <w:sz w:val="20"/>
      <w:szCs w:val="20"/>
    </w:rPr>
  </w:style>
  <w:style w:type="table" w:customStyle="1" w:styleId="1">
    <w:name w:val="Πλέγμα πίνακα1"/>
    <w:basedOn w:val="a1"/>
    <w:next w:val="a6"/>
    <w:uiPriority w:val="39"/>
    <w:rsid w:val="002178B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217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"/>
    <w:uiPriority w:val="99"/>
    <w:unhideWhenUsed/>
    <w:rsid w:val="005235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Κεφαλίδα Char"/>
    <w:basedOn w:val="a0"/>
    <w:link w:val="a7"/>
    <w:uiPriority w:val="99"/>
    <w:rsid w:val="005235C0"/>
  </w:style>
  <w:style w:type="paragraph" w:styleId="a8">
    <w:name w:val="footer"/>
    <w:basedOn w:val="a"/>
    <w:link w:val="Char2"/>
    <w:uiPriority w:val="99"/>
    <w:unhideWhenUsed/>
    <w:rsid w:val="005235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2">
    <w:name w:val="Υποσέλιδο Char"/>
    <w:basedOn w:val="a0"/>
    <w:link w:val="a8"/>
    <w:uiPriority w:val="99"/>
    <w:rsid w:val="005235C0"/>
  </w:style>
  <w:style w:type="paragraph" w:customStyle="1" w:styleId="MDPI11articletype">
    <w:name w:val="MDPI_1.1_article_type"/>
    <w:next w:val="a"/>
    <w:qFormat/>
    <w:rsid w:val="00462298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12title">
    <w:name w:val="MDPI_1.2_title"/>
    <w:next w:val="a"/>
    <w:qFormat/>
    <w:rsid w:val="00462298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  <w14:ligatures w14:val="none"/>
    </w:rPr>
  </w:style>
  <w:style w:type="paragraph" w:customStyle="1" w:styleId="MDPI13authornames">
    <w:name w:val="MDPI_1.3_authornames"/>
    <w:next w:val="a"/>
    <w:qFormat/>
    <w:rsid w:val="00462298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  <w14:ligatures w14:val="none"/>
    </w:rPr>
  </w:style>
  <w:style w:type="paragraph" w:customStyle="1" w:styleId="MDPI14history">
    <w:name w:val="MDPI_1.4_history"/>
    <w:basedOn w:val="a"/>
    <w:next w:val="a"/>
    <w:qFormat/>
    <w:rsid w:val="00462298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eastAsia="de-DE" w:bidi="en-US"/>
      <w14:ligatures w14:val="none"/>
    </w:rPr>
  </w:style>
  <w:style w:type="paragraph" w:customStyle="1" w:styleId="MDPI16affiliation">
    <w:name w:val="MDPI_1.6_affiliation"/>
    <w:qFormat/>
    <w:rsid w:val="00462298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  <w14:ligatures w14:val="none"/>
    </w:rPr>
  </w:style>
  <w:style w:type="paragraph" w:customStyle="1" w:styleId="MDPI61Citation">
    <w:name w:val="MDPI_6.1_Citation"/>
    <w:qFormat/>
    <w:rsid w:val="00462298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kern w:val="0"/>
      <w:sz w:val="14"/>
      <w:lang w:eastAsia="zh-CN"/>
      <w14:ligatures w14:val="none"/>
    </w:rPr>
  </w:style>
  <w:style w:type="paragraph" w:customStyle="1" w:styleId="MDPI15academiceditor">
    <w:name w:val="MDPI_1.5_academic_editor"/>
    <w:qFormat/>
    <w:rsid w:val="00462298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lang w:eastAsia="de-DE" w:bidi="en-US"/>
      <w14:ligatures w14:val="none"/>
    </w:rPr>
  </w:style>
  <w:style w:type="paragraph" w:customStyle="1" w:styleId="MDPI72Copyright">
    <w:name w:val="MDPI_7.2_Copyright"/>
    <w:qFormat/>
    <w:rsid w:val="0046229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kern w:val="0"/>
      <w:sz w:val="14"/>
      <w:szCs w:val="2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png"/><Relationship Id="rId18" Type="http://schemas.openxmlformats.org/officeDocument/2006/relationships/hyperlink" Target="https://doi.org/10.1186/1556-276X-9-646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tif"/><Relationship Id="rId12" Type="http://schemas.openxmlformats.org/officeDocument/2006/relationships/image" Target="media/image6.png"/><Relationship Id="rId17" Type="http://schemas.openxmlformats.org/officeDocument/2006/relationships/hyperlink" Target="https://doi.org/10.1021/acs.est.5b0202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i.org/10.1021/la304696y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avgoust@upatras.gr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s://doi.org/10.3390/appliedchem2020006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doi.org/10.1016/j.carbon.2010.12.002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ti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1225</Words>
  <Characters>6989</Characters>
  <Application>Microsoft Office Word</Application>
  <DocSecurity>0</DocSecurity>
  <Lines>58</Lines>
  <Paragraphs>16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 Inc</dc:creator>
  <cp:keywords/>
  <dc:description/>
  <cp:lastModifiedBy>athina_patras@outlook.com.gr</cp:lastModifiedBy>
  <cp:revision>7</cp:revision>
  <dcterms:created xsi:type="dcterms:W3CDTF">2024-10-14T08:34:00Z</dcterms:created>
  <dcterms:modified xsi:type="dcterms:W3CDTF">2024-10-17T20:37:00Z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27098470-4b40-42a3-825f-0fcc3c884d48</vt:lpwstr>
  </property>
</Properties>
</file>