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4377" w:rsidRPr="003C5696" w:rsidRDefault="007C0564" w:rsidP="003C5696">
      <w:pPr>
        <w:pStyle w:val="MDPI51figurecaption"/>
        <w:ind w:left="0"/>
        <w:rPr>
          <w:b/>
        </w:rPr>
      </w:pPr>
      <w:r w:rsidRPr="003C5696">
        <w:rPr>
          <w:b/>
        </w:rPr>
        <w:t>F</w:t>
      </w:r>
      <w:r w:rsidR="00A24377" w:rsidRPr="003C5696">
        <w:rPr>
          <w:b/>
        </w:rPr>
        <w:t>igure S1</w:t>
      </w:r>
    </w:p>
    <w:p w:rsidR="00A852BC" w:rsidRDefault="00A24377" w:rsidP="00D81565">
      <w:pPr>
        <w:pStyle w:val="MDPI51figurecaption"/>
        <w:ind w:left="0"/>
        <w:jc w:val="center"/>
      </w:pPr>
      <w:r>
        <w:rPr>
          <w:noProof/>
          <w:lang w:eastAsia="en-US" w:bidi="ar-SA"/>
        </w:rPr>
        <w:drawing>
          <wp:inline distT="0" distB="0" distL="0" distR="0" wp14:anchorId="6051834E" wp14:editId="32273F13">
            <wp:extent cx="6324144" cy="8061960"/>
            <wp:effectExtent l="0" t="0" r="635" b="0"/>
            <wp:docPr id="7" name="Picture 7" descr="C:\Users\User\Desktop\Klagkou et al\Figures_final\FigureS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Klagkou et al\Figures_final\FigureS1.TIF"/>
                    <pic:cNvPicPr>
                      <a:picLocks noChangeAspect="1" noChangeArrowheads="1"/>
                    </pic:cNvPicPr>
                  </pic:nvPicPr>
                  <pic:blipFill rotWithShape="1">
                    <a:blip r:embed="rId9">
                      <a:extLst>
                        <a:ext uri="{28A0092B-C50C-407E-A947-70E740481C1C}">
                          <a14:useLocalDpi xmlns:a14="http://schemas.microsoft.com/office/drawing/2010/main" val="0"/>
                        </a:ext>
                      </a:extLst>
                    </a:blip>
                    <a:srcRect/>
                    <a:stretch/>
                  </pic:blipFill>
                  <pic:spPr bwMode="auto">
                    <a:xfrm>
                      <a:off x="0" y="0"/>
                      <a:ext cx="6319665" cy="8056250"/>
                    </a:xfrm>
                    <a:prstGeom prst="rect">
                      <a:avLst/>
                    </a:prstGeom>
                    <a:noFill/>
                    <a:ln>
                      <a:noFill/>
                    </a:ln>
                    <a:extLst>
                      <a:ext uri="{53640926-AAD7-44D8-BBD7-CCE9431645EC}">
                        <a14:shadowObscured xmlns:a14="http://schemas.microsoft.com/office/drawing/2010/main"/>
                      </a:ext>
                    </a:extLst>
                  </pic:spPr>
                </pic:pic>
              </a:graphicData>
            </a:graphic>
          </wp:inline>
        </w:drawing>
      </w:r>
    </w:p>
    <w:p w:rsidR="00A24377" w:rsidRPr="00D81565" w:rsidRDefault="00A24377" w:rsidP="00D81565">
      <w:pPr>
        <w:pStyle w:val="MDPI51figurecaption"/>
      </w:pPr>
    </w:p>
    <w:p w:rsidR="00CE6473" w:rsidRDefault="002F3962" w:rsidP="003D422C">
      <w:pPr>
        <w:pStyle w:val="MDPI51figurecaption"/>
        <w:ind w:firstLine="425"/>
      </w:pPr>
      <w:bookmarkStart w:id="0" w:name="page2"/>
      <w:bookmarkEnd w:id="0"/>
      <w:r w:rsidRPr="00D81565">
        <w:rPr>
          <w:b/>
        </w:rPr>
        <w:lastRenderedPageBreak/>
        <w:t xml:space="preserve">Figure </w:t>
      </w:r>
      <w:r w:rsidR="00CE6473" w:rsidRPr="00D81565">
        <w:rPr>
          <w:b/>
        </w:rPr>
        <w:t>S</w:t>
      </w:r>
      <w:r w:rsidR="004B2A31" w:rsidRPr="00D81565">
        <w:rPr>
          <w:b/>
        </w:rPr>
        <w:t>1</w:t>
      </w:r>
      <w:r w:rsidRPr="00D81565">
        <w:rPr>
          <w:b/>
        </w:rPr>
        <w:t xml:space="preserve">. </w:t>
      </w:r>
      <w:r w:rsidR="00CE6473" w:rsidRPr="00D81565">
        <w:rPr>
          <w:b/>
        </w:rPr>
        <w:t>OSKM early- and late-bound ESC genes</w:t>
      </w:r>
      <w:r w:rsidR="00CE6473" w:rsidRPr="00CE6473">
        <w:t xml:space="preserve"> (Referred to Figure 2A-G).</w:t>
      </w:r>
      <w:r w:rsidRPr="00EF69D5">
        <w:t xml:space="preserve"> </w:t>
      </w:r>
      <w:r w:rsidR="00CE6473" w:rsidRPr="00CE6473">
        <w:t>(</w:t>
      </w:r>
      <w:r w:rsidR="00CE6473" w:rsidRPr="00D81565">
        <w:rPr>
          <w:b/>
        </w:rPr>
        <w:t>A</w:t>
      </w:r>
      <w:r w:rsidR="00CE6473">
        <w:t>) Venn d</w:t>
      </w:r>
      <w:r w:rsidR="00CE6473">
        <w:t>i</w:t>
      </w:r>
      <w:r w:rsidR="00CE6473">
        <w:t xml:space="preserve">agram depicting the number of common OSKM target genes between the </w:t>
      </w:r>
      <w:r w:rsidR="007E7E1A">
        <w:t>e</w:t>
      </w:r>
      <w:r w:rsidR="00CE6473">
        <w:t xml:space="preserve">arly- and </w:t>
      </w:r>
      <w:r w:rsidR="007E7E1A">
        <w:t>l</w:t>
      </w:r>
      <w:r w:rsidR="00CE6473">
        <w:t xml:space="preserve">ate-bound ESC </w:t>
      </w:r>
      <w:proofErr w:type="gramStart"/>
      <w:r w:rsidR="00CE6473">
        <w:t>sites.;</w:t>
      </w:r>
      <w:proofErr w:type="gramEnd"/>
      <w:r w:rsidR="00CE6473">
        <w:t xml:space="preserve"> (</w:t>
      </w:r>
      <w:r w:rsidR="00CE6473" w:rsidRPr="00D81565">
        <w:rPr>
          <w:b/>
        </w:rPr>
        <w:t>B</w:t>
      </w:r>
      <w:r w:rsidR="00CE6473">
        <w:t>) Shown is a line graph depicting normalized counts of expression of the genes ass</w:t>
      </w:r>
      <w:r w:rsidR="00CE6473">
        <w:t>o</w:t>
      </w:r>
      <w:r w:rsidR="00CE6473">
        <w:t>ciated with the OSKM early-bound ESC sites</w:t>
      </w:r>
      <w:r w:rsidR="007E7E1A">
        <w:t>,</w:t>
      </w:r>
      <w:r w:rsidR="00CE6473">
        <w:t xml:space="preserve"> only. The median expression value is depicted for each time-point.; (</w:t>
      </w:r>
      <w:r w:rsidR="00CE6473" w:rsidRPr="00D81565">
        <w:rPr>
          <w:b/>
        </w:rPr>
        <w:t>C</w:t>
      </w:r>
      <w:r w:rsidR="00CE6473">
        <w:t xml:space="preserve">) As in B, but for the genes associated with both the OSKM </w:t>
      </w:r>
      <w:r w:rsidR="007E7E1A">
        <w:t>e</w:t>
      </w:r>
      <w:r w:rsidR="00CE6473">
        <w:t xml:space="preserve">arly- and the </w:t>
      </w:r>
      <w:r w:rsidR="007E7E1A">
        <w:t>l</w:t>
      </w:r>
      <w:r w:rsidR="00CE6473">
        <w:t>ate-bound ESC sites.; (</w:t>
      </w:r>
      <w:r w:rsidR="00CE6473" w:rsidRPr="00D81565">
        <w:rPr>
          <w:b/>
        </w:rPr>
        <w:t>D</w:t>
      </w:r>
      <w:r w:rsidR="00CE6473">
        <w:t>) As in B, but for the genes associated with the OSKM late-bound ESC sites</w:t>
      </w:r>
      <w:r w:rsidR="007E7E1A">
        <w:t>,</w:t>
      </w:r>
      <w:r w:rsidR="00CE6473">
        <w:t xml:space="preserve"> only.; (</w:t>
      </w:r>
      <w:r w:rsidR="00CE6473" w:rsidRPr="00D81565">
        <w:rPr>
          <w:b/>
        </w:rPr>
        <w:t>E</w:t>
      </w:r>
      <w:r w:rsidR="00CE6473">
        <w:t>) Shown are bargraphs indicating the Functional enrichment analysis (Over-representation analysis) for the genes associated with the OSKM early-bound ESC sites</w:t>
      </w:r>
      <w:r w:rsidR="007E7E1A">
        <w:t>,</w:t>
      </w:r>
      <w:r w:rsidR="00CE6473">
        <w:t xml:space="preserve"> only, as defined from the analysis used in A. Depicted are the top 5 terms sorted by p-value (p-value&lt;0.01). The libraries GO Biological Process 2023, GO Molecular Function 2023, KEGG Pathways 2021, and PanglaoDB Augmented 2021 are used.; (</w:t>
      </w:r>
      <w:r w:rsidR="00CE6473" w:rsidRPr="00D81565">
        <w:rPr>
          <w:b/>
        </w:rPr>
        <w:t>F</w:t>
      </w:r>
      <w:r w:rsidR="00CE6473">
        <w:t>) As in E but for the genes associated with both the OSKM early- and late-bound ESC sites (p-value&lt;0.01).; (</w:t>
      </w:r>
      <w:r w:rsidR="00CE6473" w:rsidRPr="00D81565">
        <w:rPr>
          <w:b/>
        </w:rPr>
        <w:t>G</w:t>
      </w:r>
      <w:r w:rsidR="00CE6473">
        <w:t>) As in E, but for the genes associated with the OSKM late-bound ESC sites</w:t>
      </w:r>
      <w:r w:rsidR="007E7E1A">
        <w:t>,</w:t>
      </w:r>
      <w:r w:rsidR="00CE6473">
        <w:t xml:space="preserve"> only </w:t>
      </w:r>
      <w:r w:rsidR="007E7E1A">
        <w:t>(</w:t>
      </w:r>
      <w:r w:rsidR="00CE6473">
        <w:t>p-value&lt;0.01).</w:t>
      </w:r>
    </w:p>
    <w:p w:rsidR="00A24377" w:rsidRDefault="00A24377" w:rsidP="00D81565">
      <w:pPr>
        <w:pStyle w:val="MDPI51figurecaption"/>
      </w:pPr>
      <w:r>
        <w:br w:type="page"/>
      </w:r>
    </w:p>
    <w:p w:rsidR="00A24377" w:rsidRPr="003C5696" w:rsidRDefault="00A24377" w:rsidP="003C5696">
      <w:pPr>
        <w:pStyle w:val="MDPI51figurecaption"/>
        <w:ind w:left="0"/>
        <w:rPr>
          <w:b/>
        </w:rPr>
      </w:pPr>
      <w:r w:rsidRPr="003C5696">
        <w:rPr>
          <w:b/>
        </w:rPr>
        <w:lastRenderedPageBreak/>
        <w:t>Figure S2</w:t>
      </w:r>
    </w:p>
    <w:p w:rsidR="00A24377" w:rsidRDefault="00A24377" w:rsidP="00D81565">
      <w:pPr>
        <w:pStyle w:val="MDPI51figurecaption"/>
        <w:ind w:left="0"/>
        <w:jc w:val="center"/>
      </w:pPr>
      <w:r>
        <w:rPr>
          <w:noProof/>
          <w:lang w:eastAsia="en-US" w:bidi="ar-SA"/>
        </w:rPr>
        <w:drawing>
          <wp:inline distT="0" distB="0" distL="0" distR="0" wp14:anchorId="26AB796C" wp14:editId="1B5DDC95">
            <wp:extent cx="5989320" cy="3901440"/>
            <wp:effectExtent l="0" t="0" r="0" b="3810"/>
            <wp:docPr id="8" name="Picture 8" descr="C:\Users\User\Desktop\Klagkou et al\Figures_final\FigureS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Klagkou et al\Figures_final\FigureS2.TIF"/>
                    <pic:cNvPicPr>
                      <a:picLocks noChangeAspect="1" noChangeArrowheads="1"/>
                    </pic:cNvPicPr>
                  </pic:nvPicPr>
                  <pic:blipFill rotWithShape="1">
                    <a:blip r:embed="rId10">
                      <a:extLst>
                        <a:ext uri="{28A0092B-C50C-407E-A947-70E740481C1C}">
                          <a14:useLocalDpi xmlns:a14="http://schemas.microsoft.com/office/drawing/2010/main" val="0"/>
                        </a:ext>
                      </a:extLst>
                    </a:blip>
                    <a:srcRect/>
                    <a:stretch/>
                  </pic:blipFill>
                  <pic:spPr bwMode="auto">
                    <a:xfrm>
                      <a:off x="0" y="0"/>
                      <a:ext cx="5985078" cy="3898677"/>
                    </a:xfrm>
                    <a:prstGeom prst="rect">
                      <a:avLst/>
                    </a:prstGeom>
                    <a:noFill/>
                    <a:ln>
                      <a:noFill/>
                    </a:ln>
                    <a:extLst>
                      <a:ext uri="{53640926-AAD7-44D8-BBD7-CCE9431645EC}">
                        <a14:shadowObscured xmlns:a14="http://schemas.microsoft.com/office/drawing/2010/main"/>
                      </a:ext>
                    </a:extLst>
                  </pic:spPr>
                </pic:pic>
              </a:graphicData>
            </a:graphic>
          </wp:inline>
        </w:drawing>
      </w:r>
    </w:p>
    <w:p w:rsidR="003C5696" w:rsidRPr="003C5696" w:rsidRDefault="00D81565" w:rsidP="003C5696">
      <w:pPr>
        <w:pStyle w:val="MDPI51figurecaption"/>
        <w:ind w:firstLine="425"/>
      </w:pPr>
      <w:r w:rsidRPr="00D81565">
        <w:rPr>
          <w:b/>
        </w:rPr>
        <w:t>Figure S2.</w:t>
      </w:r>
      <w:r w:rsidRPr="00EF69D5">
        <w:t xml:space="preserve"> </w:t>
      </w:r>
      <w:r w:rsidRPr="00D81565">
        <w:rPr>
          <w:b/>
        </w:rPr>
        <w:t xml:space="preserve">Motif analysis of the OSKM </w:t>
      </w:r>
      <w:r w:rsidR="00386939" w:rsidRPr="00D81565">
        <w:rPr>
          <w:b/>
        </w:rPr>
        <w:t xml:space="preserve">ESC </w:t>
      </w:r>
      <w:r w:rsidRPr="00D81565">
        <w:rPr>
          <w:b/>
        </w:rPr>
        <w:t xml:space="preserve">genomic </w:t>
      </w:r>
      <w:r w:rsidRPr="00386939">
        <w:rPr>
          <w:b/>
        </w:rPr>
        <w:t xml:space="preserve">sites </w:t>
      </w:r>
      <w:r w:rsidRPr="00D81565">
        <w:t>(Referred to Figure 2</w:t>
      </w:r>
      <w:r w:rsidR="00386939">
        <w:t>A and 2I</w:t>
      </w:r>
      <w:r w:rsidRPr="00D81565">
        <w:t>).</w:t>
      </w:r>
      <w:r>
        <w:rPr>
          <w:b/>
        </w:rPr>
        <w:t xml:space="preserve"> </w:t>
      </w:r>
      <w:r w:rsidRPr="003C5696">
        <w:t>(</w:t>
      </w:r>
      <w:r>
        <w:rPr>
          <w:b/>
        </w:rPr>
        <w:t>A</w:t>
      </w:r>
      <w:r w:rsidRPr="003C5696">
        <w:t>)</w:t>
      </w:r>
      <w:r>
        <w:rPr>
          <w:b/>
        </w:rPr>
        <w:t xml:space="preserve"> </w:t>
      </w:r>
      <w:r w:rsidRPr="00D81565">
        <w:rPr>
          <w:i/>
        </w:rPr>
        <w:t>De novo</w:t>
      </w:r>
      <w:r w:rsidRPr="00D81565">
        <w:t xml:space="preserve"> motif analysis of the </w:t>
      </w:r>
      <w:r w:rsidR="00386939">
        <w:t>e</w:t>
      </w:r>
      <w:r w:rsidRPr="00D81565">
        <w:t>arly-bound ESC sites. Depicted are the motifs obtained with a final enrichment p-value&lt;1e-10. Only motifs with score</w:t>
      </w:r>
      <w:r w:rsidRPr="00D81565">
        <w:sym w:font="Symbol" w:char="F0B3"/>
      </w:r>
      <w:r w:rsidRPr="00D81565">
        <w:t>0.9 were considered. The grey dashed line corresponds to p-value=0.01.</w:t>
      </w:r>
      <w:r>
        <w:t>; (</w:t>
      </w:r>
      <w:r w:rsidRPr="00D81565">
        <w:rPr>
          <w:b/>
        </w:rPr>
        <w:t>B</w:t>
      </w:r>
      <w:r>
        <w:t xml:space="preserve">) </w:t>
      </w:r>
      <w:r w:rsidRPr="00D81565">
        <w:t xml:space="preserve">As in A, but for the </w:t>
      </w:r>
      <w:r w:rsidR="00386939">
        <w:t>l</w:t>
      </w:r>
      <w:r w:rsidRPr="00D81565">
        <w:t xml:space="preserve">ate-bound ESC </w:t>
      </w:r>
      <w:proofErr w:type="gramStart"/>
      <w:r w:rsidRPr="00D81565">
        <w:t>sites.</w:t>
      </w:r>
      <w:r>
        <w:t>;</w:t>
      </w:r>
      <w:proofErr w:type="gramEnd"/>
      <w:r>
        <w:t xml:space="preserve"> (</w:t>
      </w:r>
      <w:r w:rsidRPr="00D81565">
        <w:rPr>
          <w:b/>
        </w:rPr>
        <w:t>C</w:t>
      </w:r>
      <w:r>
        <w:t xml:space="preserve">) </w:t>
      </w:r>
      <w:r w:rsidRPr="00D81565">
        <w:t xml:space="preserve">As in A, but for the </w:t>
      </w:r>
      <w:r w:rsidR="00386939">
        <w:t>s</w:t>
      </w:r>
      <w:r w:rsidRPr="00D81565">
        <w:t xml:space="preserve">tably-bound </w:t>
      </w:r>
      <w:r w:rsidR="00386939">
        <w:t>e</w:t>
      </w:r>
      <w:r w:rsidR="00386939" w:rsidRPr="00D81565">
        <w:t xml:space="preserve">arly </w:t>
      </w:r>
      <w:r w:rsidRPr="00D81565">
        <w:t>ESC sites.</w:t>
      </w:r>
    </w:p>
    <w:p w:rsidR="003C5696" w:rsidRDefault="003C5696" w:rsidP="003C5696">
      <w:pPr>
        <w:pStyle w:val="MDPI51figurecaption"/>
        <w:ind w:left="0"/>
        <w:jc w:val="left"/>
        <w:rPr>
          <w:b/>
        </w:rPr>
      </w:pPr>
      <w:r>
        <w:rPr>
          <w:b/>
        </w:rPr>
        <w:lastRenderedPageBreak/>
        <w:t>Figure S3</w:t>
      </w:r>
      <w:r>
        <w:rPr>
          <w:noProof/>
          <w:lang w:eastAsia="en-US" w:bidi="ar-SA"/>
        </w:rPr>
        <w:drawing>
          <wp:inline distT="0" distB="0" distL="0" distR="0" wp14:anchorId="7D04E70D" wp14:editId="4020DC94">
            <wp:extent cx="6654165" cy="6899111"/>
            <wp:effectExtent l="0" t="0" r="0" b="0"/>
            <wp:docPr id="9" name="Picture 9" descr="C:\Users\User\Desktop\Klagkou et al\Figures_final\FigureS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Klagkou et al\Figures_final\FigureS3.TIF"/>
                    <pic:cNvPicPr>
                      <a:picLocks noChangeAspect="1" noChangeArrowheads="1"/>
                    </pic:cNvPicPr>
                  </pic:nvPicPr>
                  <pic:blipFill rotWithShape="1">
                    <a:blip r:embed="rId11">
                      <a:extLst>
                        <a:ext uri="{28A0092B-C50C-407E-A947-70E740481C1C}">
                          <a14:useLocalDpi xmlns:a14="http://schemas.microsoft.com/office/drawing/2010/main" val="0"/>
                        </a:ext>
                      </a:extLst>
                    </a:blip>
                    <a:srcRect/>
                    <a:stretch/>
                  </pic:blipFill>
                  <pic:spPr bwMode="auto">
                    <a:xfrm>
                      <a:off x="0" y="0"/>
                      <a:ext cx="6654165" cy="6899111"/>
                    </a:xfrm>
                    <a:prstGeom prst="rect">
                      <a:avLst/>
                    </a:prstGeom>
                    <a:noFill/>
                    <a:ln>
                      <a:noFill/>
                    </a:ln>
                    <a:extLst>
                      <a:ext uri="{53640926-AAD7-44D8-BBD7-CCE9431645EC}">
                        <a14:shadowObscured xmlns:a14="http://schemas.microsoft.com/office/drawing/2010/main"/>
                      </a:ext>
                    </a:extLst>
                  </pic:spPr>
                </pic:pic>
              </a:graphicData>
            </a:graphic>
          </wp:inline>
        </w:drawing>
      </w:r>
    </w:p>
    <w:p w:rsidR="003C5696" w:rsidRDefault="003C5696" w:rsidP="003C5696">
      <w:pPr>
        <w:pStyle w:val="MDPI51figurecaption"/>
        <w:ind w:firstLine="425"/>
        <w:rPr>
          <w:b/>
        </w:rPr>
      </w:pPr>
    </w:p>
    <w:p w:rsidR="003C5696" w:rsidRDefault="003D422C" w:rsidP="003C5696">
      <w:pPr>
        <w:pStyle w:val="MDPI51figurecaption"/>
        <w:ind w:firstLine="425"/>
        <w:rPr>
          <w:b/>
        </w:rPr>
      </w:pPr>
      <w:r w:rsidRPr="003D422C">
        <w:rPr>
          <w:b/>
        </w:rPr>
        <w:t xml:space="preserve">Figure S3. OSKM and Nanog binding to the 9TR-GRN loci </w:t>
      </w:r>
      <w:r w:rsidRPr="003C5696">
        <w:t>(adapted from Papathanasiou et al., 2021)</w:t>
      </w:r>
      <w:r w:rsidR="003C5696" w:rsidRPr="003C5696">
        <w:t>. (</w:t>
      </w:r>
      <w:r w:rsidRPr="003D422C">
        <w:rPr>
          <w:b/>
        </w:rPr>
        <w:t>A-I</w:t>
      </w:r>
      <w:r w:rsidR="003C5696" w:rsidRPr="003C5696">
        <w:t>)</w:t>
      </w:r>
      <w:r w:rsidRPr="003D422C">
        <w:rPr>
          <w:b/>
        </w:rPr>
        <w:t xml:space="preserve"> </w:t>
      </w:r>
      <w:r w:rsidRPr="003C5696">
        <w:t>Shown are ChIP-seq bigwig files in the IGV browser depicting the binding of Oct4 (blue), Sox2 (green), Klf4 (red), Myc (purple) and Nanog (cyan) to putative regulatory regions in the 9TR-GRN genes in MEFs undergoing reprogramming (day 1, day 3 and day</w:t>
      </w:r>
      <w:r w:rsidR="00386939">
        <w:t xml:space="preserve"> 6),</w:t>
      </w:r>
      <w:r w:rsidRPr="003C5696">
        <w:t xml:space="preserve"> in control MEFs (day 0) and ESCs. The scale for each snapshot is shown on the right. The binding signal has been calculated as RPKM</w:t>
      </w:r>
      <w:r w:rsidR="00386939">
        <w:t>,</w:t>
      </w:r>
      <w:r w:rsidRPr="003C5696">
        <w:t xml:space="preserve"> after subtraction of the Input signal from the respective IP signal. Statistically significant peaks are depicted with a black bar below the respective lane.</w:t>
      </w:r>
      <w:r w:rsidR="003C5696">
        <w:rPr>
          <w:b/>
        </w:rPr>
        <w:br w:type="page"/>
      </w:r>
    </w:p>
    <w:p w:rsidR="003C5696" w:rsidRPr="003C5696" w:rsidRDefault="003C5696" w:rsidP="003C5696">
      <w:pPr>
        <w:pStyle w:val="MDPI51figurecaption"/>
        <w:ind w:left="0"/>
        <w:rPr>
          <w:b/>
        </w:rPr>
      </w:pPr>
      <w:r w:rsidRPr="003C5696">
        <w:rPr>
          <w:b/>
        </w:rPr>
        <w:lastRenderedPageBreak/>
        <w:t>Figure S4</w:t>
      </w:r>
    </w:p>
    <w:p w:rsidR="003C5696" w:rsidRDefault="003C5696" w:rsidP="003C5696">
      <w:pPr>
        <w:pStyle w:val="MDPI51figurecaption"/>
        <w:ind w:left="0"/>
        <w:jc w:val="center"/>
      </w:pPr>
      <w:r>
        <w:rPr>
          <w:noProof/>
          <w:lang w:eastAsia="en-US" w:bidi="ar-SA"/>
        </w:rPr>
        <w:drawing>
          <wp:inline distT="0" distB="0" distL="0" distR="0" wp14:anchorId="1CA002A0" wp14:editId="419181FA">
            <wp:extent cx="6658881" cy="5897880"/>
            <wp:effectExtent l="0" t="0" r="8890" b="7620"/>
            <wp:docPr id="10" name="Picture 10" descr="C:\Users\User\Desktop\Klagkou et al\Figures_final\FigureS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Klagkou et al\Figures_final\FigureS4.TIF"/>
                    <pic:cNvPicPr>
                      <a:picLocks noChangeAspect="1" noChangeArrowheads="1"/>
                    </pic:cNvPicPr>
                  </pic:nvPicPr>
                  <pic:blipFill rotWithShape="1">
                    <a:blip r:embed="rId12">
                      <a:extLst>
                        <a:ext uri="{28A0092B-C50C-407E-A947-70E740481C1C}">
                          <a14:useLocalDpi xmlns:a14="http://schemas.microsoft.com/office/drawing/2010/main" val="0"/>
                        </a:ext>
                      </a:extLst>
                    </a:blip>
                    <a:srcRect/>
                    <a:stretch/>
                  </pic:blipFill>
                  <pic:spPr bwMode="auto">
                    <a:xfrm>
                      <a:off x="0" y="0"/>
                      <a:ext cx="6654165" cy="5893703"/>
                    </a:xfrm>
                    <a:prstGeom prst="rect">
                      <a:avLst/>
                    </a:prstGeom>
                    <a:noFill/>
                    <a:ln>
                      <a:noFill/>
                    </a:ln>
                    <a:extLst>
                      <a:ext uri="{53640926-AAD7-44D8-BBD7-CCE9431645EC}">
                        <a14:shadowObscured xmlns:a14="http://schemas.microsoft.com/office/drawing/2010/main"/>
                      </a:ext>
                    </a:extLst>
                  </pic:spPr>
                </pic:pic>
              </a:graphicData>
            </a:graphic>
          </wp:inline>
        </w:drawing>
      </w:r>
    </w:p>
    <w:p w:rsidR="00386939" w:rsidRDefault="00386939" w:rsidP="00386939">
      <w:pPr>
        <w:pStyle w:val="MDPI51figurecaption"/>
        <w:ind w:firstLine="425"/>
        <w:rPr>
          <w:b/>
        </w:rPr>
      </w:pPr>
    </w:p>
    <w:p w:rsidR="003C5696" w:rsidRDefault="003D422C" w:rsidP="00386939">
      <w:pPr>
        <w:pStyle w:val="MDPI51figurecaption"/>
        <w:ind w:firstLine="425"/>
      </w:pPr>
      <w:r w:rsidRPr="003D422C">
        <w:rPr>
          <w:b/>
        </w:rPr>
        <w:t xml:space="preserve">Figure S4. </w:t>
      </w:r>
      <w:proofErr w:type="gramStart"/>
      <w:r w:rsidRPr="003D422C">
        <w:rPr>
          <w:b/>
        </w:rPr>
        <w:t>Chromatin structure at the Lefty1</w:t>
      </w:r>
      <w:r w:rsidRPr="003D422C">
        <w:rPr>
          <w:b/>
          <w:vertAlign w:val="subscript"/>
        </w:rPr>
        <w:t>700</w:t>
      </w:r>
      <w:r w:rsidRPr="003D422C">
        <w:rPr>
          <w:b/>
        </w:rPr>
        <w:t>, Pou5f1</w:t>
      </w:r>
      <w:r w:rsidRPr="003D422C">
        <w:rPr>
          <w:b/>
          <w:vertAlign w:val="subscript"/>
        </w:rPr>
        <w:t>1800</w:t>
      </w:r>
      <w:r w:rsidRPr="003D422C">
        <w:rPr>
          <w:b/>
        </w:rPr>
        <w:t xml:space="preserve"> and Upp1</w:t>
      </w:r>
      <w:r w:rsidRPr="003D422C">
        <w:rPr>
          <w:b/>
          <w:vertAlign w:val="subscript"/>
        </w:rPr>
        <w:t>800</w:t>
      </w:r>
      <w:r w:rsidRPr="003D422C">
        <w:rPr>
          <w:b/>
        </w:rPr>
        <w:t xml:space="preserve"> elements during cellular reprogramming.</w:t>
      </w:r>
      <w:proofErr w:type="gramEnd"/>
      <w:r w:rsidR="003C5696">
        <w:rPr>
          <w:b/>
        </w:rPr>
        <w:t xml:space="preserve"> </w:t>
      </w:r>
      <w:r w:rsidR="003C5696" w:rsidRPr="003C5696">
        <w:t>(</w:t>
      </w:r>
      <w:r w:rsidR="003C5696" w:rsidRPr="003C5696">
        <w:rPr>
          <w:b/>
        </w:rPr>
        <w:t>A</w:t>
      </w:r>
      <w:r w:rsidR="003C5696" w:rsidRPr="003C5696">
        <w:t xml:space="preserve">) </w:t>
      </w:r>
      <w:r w:rsidRPr="003C5696">
        <w:t>Shown are ATAC-seq bigwig files in the IGV browser depicting chromatin accessibility at the Lefty1</w:t>
      </w:r>
      <w:r w:rsidRPr="003C5696">
        <w:rPr>
          <w:vertAlign w:val="subscript"/>
        </w:rPr>
        <w:t>700</w:t>
      </w:r>
      <w:r w:rsidRPr="003C5696">
        <w:t xml:space="preserve"> RIE in MEFs undergoing reprogramming (day 1, day 3 and day 6), in control MEFs and ESCs. The scale for each snapshot is shown on the right. Statistically significant peaks are depicted with a black bar below the respective lane. The position of the Lefty1</w:t>
      </w:r>
      <w:r w:rsidRPr="003C5696">
        <w:rPr>
          <w:vertAlign w:val="subscript"/>
        </w:rPr>
        <w:t>700</w:t>
      </w:r>
      <w:r w:rsidRPr="003C5696">
        <w:t xml:space="preserve"> element is depicted as a dark grey bar at the bottom of the panel.</w:t>
      </w:r>
      <w:r w:rsidR="00386939">
        <w:t>;</w:t>
      </w:r>
      <w:r w:rsidRPr="003C5696">
        <w:t xml:space="preserve"> </w:t>
      </w:r>
      <w:r w:rsidR="003C5696" w:rsidRPr="003C5696">
        <w:t>(</w:t>
      </w:r>
      <w:r w:rsidR="003C5696" w:rsidRPr="003C5696">
        <w:rPr>
          <w:b/>
        </w:rPr>
        <w:t>B</w:t>
      </w:r>
      <w:r w:rsidR="003C5696" w:rsidRPr="003C5696">
        <w:t xml:space="preserve">) </w:t>
      </w:r>
      <w:r w:rsidRPr="003C5696">
        <w:t>As in A, but for the Pou5f1</w:t>
      </w:r>
      <w:r w:rsidRPr="003C5696">
        <w:rPr>
          <w:vertAlign w:val="subscript"/>
        </w:rPr>
        <w:t>1800</w:t>
      </w:r>
      <w:r w:rsidRPr="003C5696">
        <w:t xml:space="preserve"> element.</w:t>
      </w:r>
      <w:r w:rsidR="00386939">
        <w:t>;</w:t>
      </w:r>
      <w:r w:rsidR="003C5696" w:rsidRPr="003C5696">
        <w:t xml:space="preserve"> (</w:t>
      </w:r>
      <w:r w:rsidR="003C5696" w:rsidRPr="003C5696">
        <w:rPr>
          <w:b/>
        </w:rPr>
        <w:t>C</w:t>
      </w:r>
      <w:r w:rsidR="003C5696" w:rsidRPr="003C5696">
        <w:t xml:space="preserve">) </w:t>
      </w:r>
      <w:r w:rsidRPr="003C5696">
        <w:t>As in A, but for the Upp1</w:t>
      </w:r>
      <w:r w:rsidRPr="003C5696">
        <w:rPr>
          <w:vertAlign w:val="subscript"/>
        </w:rPr>
        <w:t>800</w:t>
      </w:r>
      <w:r w:rsidRPr="003C5696">
        <w:t xml:space="preserve"> element.</w:t>
      </w:r>
      <w:r w:rsidR="00386939">
        <w:t>;</w:t>
      </w:r>
      <w:r w:rsidR="003C5696" w:rsidRPr="003C5696">
        <w:t xml:space="preserve"> (</w:t>
      </w:r>
      <w:r w:rsidR="003C5696" w:rsidRPr="003C5696">
        <w:rPr>
          <w:b/>
        </w:rPr>
        <w:t>D</w:t>
      </w:r>
      <w:r w:rsidR="003C5696" w:rsidRPr="003C5696">
        <w:t xml:space="preserve">) </w:t>
      </w:r>
      <w:r w:rsidRPr="003C5696">
        <w:t>Shown are ChIP-seq wig files in the IGV browser depicting the H3K27Ac (yellow) and H3K27me3 (dark red) at the Lefty1</w:t>
      </w:r>
      <w:r w:rsidRPr="003C5696">
        <w:rPr>
          <w:vertAlign w:val="subscript"/>
        </w:rPr>
        <w:t>700</w:t>
      </w:r>
      <w:r w:rsidRPr="003C5696">
        <w:t xml:space="preserve"> put</w:t>
      </w:r>
      <w:r w:rsidRPr="003C5696">
        <w:t>a</w:t>
      </w:r>
      <w:r w:rsidRPr="003C5696">
        <w:t>tive RIE in MEFs and during reprogramming (data taken from Chronis et al., 2017). The position of the Lefty1</w:t>
      </w:r>
      <w:r w:rsidRPr="003C5696">
        <w:rPr>
          <w:vertAlign w:val="subscript"/>
        </w:rPr>
        <w:t>700</w:t>
      </w:r>
      <w:r w:rsidRPr="003C5696">
        <w:t xml:space="preserve"> element is depicted as a dark grey bar at the bottom of the panel.</w:t>
      </w:r>
      <w:r w:rsidR="00386939">
        <w:t>;</w:t>
      </w:r>
      <w:r w:rsidRPr="003C5696">
        <w:t xml:space="preserve"> </w:t>
      </w:r>
      <w:r w:rsidR="003C5696" w:rsidRPr="003C5696">
        <w:t>(</w:t>
      </w:r>
      <w:r w:rsidR="003C5696" w:rsidRPr="003C5696">
        <w:rPr>
          <w:b/>
        </w:rPr>
        <w:t>E</w:t>
      </w:r>
      <w:r w:rsidR="003C5696" w:rsidRPr="003C5696">
        <w:t xml:space="preserve">) </w:t>
      </w:r>
      <w:r w:rsidRPr="003C5696">
        <w:t>As in D, but for the Pou5f1</w:t>
      </w:r>
      <w:r w:rsidRPr="003C5696">
        <w:rPr>
          <w:vertAlign w:val="subscript"/>
        </w:rPr>
        <w:t>1800</w:t>
      </w:r>
      <w:r w:rsidRPr="003C5696">
        <w:t xml:space="preserve"> element.</w:t>
      </w:r>
      <w:r w:rsidR="00386939">
        <w:t>;</w:t>
      </w:r>
      <w:r w:rsidR="003C5696" w:rsidRPr="003C5696">
        <w:t xml:space="preserve"> (</w:t>
      </w:r>
      <w:r w:rsidR="003C5696" w:rsidRPr="003C5696">
        <w:rPr>
          <w:b/>
        </w:rPr>
        <w:t>F</w:t>
      </w:r>
      <w:r w:rsidR="003C5696" w:rsidRPr="003C5696">
        <w:t xml:space="preserve">) </w:t>
      </w:r>
      <w:r w:rsidRPr="003C5696">
        <w:t>As in D, but for the Upp1</w:t>
      </w:r>
      <w:r w:rsidRPr="003C5696">
        <w:rPr>
          <w:vertAlign w:val="subscript"/>
        </w:rPr>
        <w:t>800</w:t>
      </w:r>
      <w:r w:rsidRPr="003C5696">
        <w:t xml:space="preserve"> element.</w:t>
      </w:r>
    </w:p>
    <w:p w:rsidR="003C5696" w:rsidRDefault="003C5696">
      <w:pPr>
        <w:spacing w:line="240" w:lineRule="auto"/>
        <w:jc w:val="left"/>
        <w:rPr>
          <w:rFonts w:eastAsia="Times New Roman"/>
          <w:b/>
          <w:noProof w:val="0"/>
          <w:sz w:val="18"/>
          <w:lang w:eastAsia="de-DE" w:bidi="en-US"/>
        </w:rPr>
      </w:pPr>
      <w:r>
        <w:rPr>
          <w:b/>
        </w:rPr>
        <w:br w:type="page"/>
      </w:r>
    </w:p>
    <w:p w:rsidR="003C5696" w:rsidRPr="003C5696" w:rsidRDefault="003C5696" w:rsidP="003C5696">
      <w:pPr>
        <w:pStyle w:val="MDPI51figurecaption"/>
        <w:ind w:left="0"/>
        <w:rPr>
          <w:b/>
        </w:rPr>
      </w:pPr>
      <w:r w:rsidRPr="003C5696">
        <w:rPr>
          <w:b/>
        </w:rPr>
        <w:lastRenderedPageBreak/>
        <w:t>Figure S5</w:t>
      </w:r>
    </w:p>
    <w:p w:rsidR="003C5696" w:rsidRDefault="00B942F0" w:rsidP="003C5696">
      <w:pPr>
        <w:pStyle w:val="MDPI51figurecaption"/>
        <w:ind w:left="0"/>
        <w:jc w:val="center"/>
      </w:pPr>
      <w:bookmarkStart w:id="1" w:name="_GoBack"/>
      <w:r>
        <w:rPr>
          <w:noProof/>
          <w:lang w:eastAsia="en-US" w:bidi="ar-SA"/>
        </w:rPr>
        <w:drawing>
          <wp:inline distT="0" distB="0" distL="0" distR="0">
            <wp:extent cx="6201149" cy="8499763"/>
            <wp:effectExtent l="0" t="0" r="9525" b="0"/>
            <wp:docPr id="2" name="Picture 2" descr="C:\Users\User\Desktop\Klagkou et al\Figures_final\TIF\FigureS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Klagkou et al\Figures_final\TIF\FigureS5.T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10579" cy="8512689"/>
                    </a:xfrm>
                    <a:prstGeom prst="rect">
                      <a:avLst/>
                    </a:prstGeom>
                    <a:noFill/>
                    <a:ln>
                      <a:noFill/>
                    </a:ln>
                  </pic:spPr>
                </pic:pic>
              </a:graphicData>
            </a:graphic>
          </wp:inline>
        </w:drawing>
      </w:r>
      <w:bookmarkEnd w:id="1"/>
      <w:r w:rsidR="003C5696">
        <w:br w:type="page"/>
      </w:r>
    </w:p>
    <w:p w:rsidR="003C5696" w:rsidRPr="003C5696" w:rsidRDefault="003D422C" w:rsidP="003C5696">
      <w:pPr>
        <w:pStyle w:val="MDPI51figurecaption"/>
        <w:ind w:firstLine="425"/>
      </w:pPr>
      <w:r w:rsidRPr="003D422C">
        <w:rPr>
          <w:b/>
        </w:rPr>
        <w:lastRenderedPageBreak/>
        <w:t>Figure S5. The Lefty1</w:t>
      </w:r>
      <w:r w:rsidRPr="003D422C">
        <w:rPr>
          <w:b/>
          <w:vertAlign w:val="subscript"/>
        </w:rPr>
        <w:t>700</w:t>
      </w:r>
      <w:r w:rsidRPr="003D422C">
        <w:rPr>
          <w:b/>
        </w:rPr>
        <w:t xml:space="preserve"> and Pou5f1</w:t>
      </w:r>
      <w:r w:rsidRPr="003D422C">
        <w:rPr>
          <w:b/>
          <w:vertAlign w:val="subscript"/>
        </w:rPr>
        <w:t>1800</w:t>
      </w:r>
      <w:r w:rsidRPr="003D422C">
        <w:rPr>
          <w:b/>
        </w:rPr>
        <w:t xml:space="preserve"> identified putative reprogramming inducible e</w:t>
      </w:r>
      <w:r w:rsidRPr="003D422C">
        <w:rPr>
          <w:b/>
        </w:rPr>
        <w:t>n</w:t>
      </w:r>
      <w:r w:rsidRPr="003D422C">
        <w:rPr>
          <w:b/>
        </w:rPr>
        <w:t>hancers (RIEs) and additional data for the Upp1</w:t>
      </w:r>
      <w:r w:rsidRPr="003D422C">
        <w:rPr>
          <w:b/>
          <w:vertAlign w:val="subscript"/>
        </w:rPr>
        <w:t>800</w:t>
      </w:r>
      <w:r w:rsidRPr="003D422C">
        <w:rPr>
          <w:b/>
        </w:rPr>
        <w:t>-</w:t>
      </w:r>
      <w:proofErr w:type="gramStart"/>
      <w:r w:rsidRPr="003D422C">
        <w:rPr>
          <w:b/>
        </w:rPr>
        <w:t>GFP(</w:t>
      </w:r>
      <w:proofErr w:type="gramEnd"/>
      <w:r w:rsidRPr="003D422C">
        <w:rPr>
          <w:b/>
        </w:rPr>
        <w:t>+) and GFP(-) cells during cellular r</w:t>
      </w:r>
      <w:r w:rsidRPr="003D422C">
        <w:rPr>
          <w:b/>
        </w:rPr>
        <w:t>e</w:t>
      </w:r>
      <w:r w:rsidRPr="003D422C">
        <w:rPr>
          <w:b/>
        </w:rPr>
        <w:t>programming.</w:t>
      </w:r>
      <w:r w:rsidR="003C5696">
        <w:rPr>
          <w:b/>
        </w:rPr>
        <w:t xml:space="preserve"> </w:t>
      </w:r>
      <w:r w:rsidR="003C5696" w:rsidRPr="003C5696">
        <w:t>(</w:t>
      </w:r>
      <w:r w:rsidR="003C5696" w:rsidRPr="003C5696">
        <w:rPr>
          <w:b/>
        </w:rPr>
        <w:t>A</w:t>
      </w:r>
      <w:r w:rsidR="003C5696" w:rsidRPr="003C5696">
        <w:t xml:space="preserve">) </w:t>
      </w:r>
      <w:r w:rsidRPr="003C5696">
        <w:t xml:space="preserve">Representative fluorescence microscopy </w:t>
      </w:r>
      <w:r w:rsidR="00386939">
        <w:t>i</w:t>
      </w:r>
      <w:r w:rsidRPr="003C5696">
        <w:t>mages taken from a time-course r</w:t>
      </w:r>
      <w:r w:rsidRPr="003C5696">
        <w:t>e</w:t>
      </w:r>
      <w:r w:rsidRPr="003C5696">
        <w:t>programming experiment using MEFs transduced with the lenti-virus bearing the Lefty1</w:t>
      </w:r>
      <w:r w:rsidRPr="003C5696">
        <w:rPr>
          <w:vertAlign w:val="subscript"/>
        </w:rPr>
        <w:t>700</w:t>
      </w:r>
      <w:r w:rsidRPr="003C5696">
        <w:t>-GFP reporter cassette. The brightfield (phase contrast) and fluores</w:t>
      </w:r>
      <w:r w:rsidR="00386939">
        <w:t>c</w:t>
      </w:r>
      <w:r w:rsidRPr="003C5696">
        <w:t xml:space="preserve">ence images were merged for each time-point. The white arrows point to cells abandoning the MEF phenotype (MET). Early iPSC formations are indicated with yellow dashed lines. Scale bar: </w:t>
      </w:r>
      <w:proofErr w:type="gramStart"/>
      <w:r w:rsidRPr="003C5696">
        <w:t>150</w:t>
      </w:r>
      <w:r w:rsidRPr="003C5696">
        <w:rPr>
          <w:lang w:val="el-GR"/>
        </w:rPr>
        <w:t>μ</w:t>
      </w:r>
      <w:r w:rsidRPr="003C5696">
        <w:t>m.</w:t>
      </w:r>
      <w:r w:rsidR="00386939">
        <w:t>;</w:t>
      </w:r>
      <w:proofErr w:type="gramEnd"/>
      <w:r w:rsidRPr="003C5696">
        <w:t xml:space="preserve"> </w:t>
      </w:r>
      <w:r w:rsidR="003C5696" w:rsidRPr="003C5696">
        <w:t>(</w:t>
      </w:r>
      <w:r w:rsidR="003C5696" w:rsidRPr="003C5696">
        <w:rPr>
          <w:b/>
        </w:rPr>
        <w:t>B</w:t>
      </w:r>
      <w:r w:rsidR="003C5696" w:rsidRPr="003C5696">
        <w:t xml:space="preserve">) </w:t>
      </w:r>
      <w:r w:rsidRPr="003C5696">
        <w:t>As in A, but for the Pou5f1</w:t>
      </w:r>
      <w:r w:rsidRPr="003C5696">
        <w:rPr>
          <w:vertAlign w:val="subscript"/>
        </w:rPr>
        <w:t>1800</w:t>
      </w:r>
      <w:r w:rsidRPr="003C5696">
        <w:t xml:space="preserve">-GFP reporter. </w:t>
      </w:r>
      <w:r w:rsidR="00386939">
        <w:t>S</w:t>
      </w:r>
      <w:r w:rsidRPr="003C5696">
        <w:t>cale bar: 200</w:t>
      </w:r>
      <w:r w:rsidRPr="003C5696">
        <w:rPr>
          <w:lang w:val="el-GR"/>
        </w:rPr>
        <w:t>μ</w:t>
      </w:r>
      <w:r w:rsidRPr="003C5696">
        <w:t>m.</w:t>
      </w:r>
      <w:r w:rsidR="00386939">
        <w:t>;</w:t>
      </w:r>
      <w:r w:rsidR="003C5696" w:rsidRPr="003C5696">
        <w:t xml:space="preserve"> (</w:t>
      </w:r>
      <w:r w:rsidR="003C5696" w:rsidRPr="003C5696">
        <w:rPr>
          <w:b/>
        </w:rPr>
        <w:t>C</w:t>
      </w:r>
      <w:r w:rsidR="003C5696" w:rsidRPr="003C5696">
        <w:t xml:space="preserve">) </w:t>
      </w:r>
      <w:r w:rsidR="00386939">
        <w:t>Line-</w:t>
      </w:r>
      <w:r w:rsidRPr="003C5696">
        <w:t>graph depicting the expression of the endo</w:t>
      </w:r>
      <w:r w:rsidRPr="003C5696">
        <w:t>g</w:t>
      </w:r>
      <w:r w:rsidRPr="003C5696">
        <w:t>enous Lefty1 gene (orange line, right axis) in comparison with the expression of the Lefty1</w:t>
      </w:r>
      <w:r w:rsidRPr="003C5696">
        <w:rPr>
          <w:vertAlign w:val="subscript"/>
        </w:rPr>
        <w:t>700</w:t>
      </w:r>
      <w:r w:rsidRPr="003C5696">
        <w:t>-GFP transgene (green line, left axis). Shown are the mean expression values from two biological repl</w:t>
      </w:r>
      <w:r w:rsidRPr="003C5696">
        <w:t>i</w:t>
      </w:r>
      <w:r w:rsidRPr="003C5696">
        <w:t>cates and the standard error.</w:t>
      </w:r>
      <w:r w:rsidR="00386939">
        <w:t>;</w:t>
      </w:r>
      <w:r w:rsidRPr="003C5696">
        <w:t xml:space="preserve"> </w:t>
      </w:r>
      <w:r w:rsidR="003C5696" w:rsidRPr="003C5696">
        <w:t>(</w:t>
      </w:r>
      <w:r w:rsidR="003C5696" w:rsidRPr="003C5696">
        <w:rPr>
          <w:b/>
        </w:rPr>
        <w:t>D</w:t>
      </w:r>
      <w:r w:rsidR="003C5696" w:rsidRPr="003C5696">
        <w:t xml:space="preserve">) </w:t>
      </w:r>
      <w:r w:rsidRPr="003C5696">
        <w:t>As in C, but for the Pou5f1</w:t>
      </w:r>
      <w:r w:rsidRPr="003C5696">
        <w:rPr>
          <w:vertAlign w:val="subscript"/>
        </w:rPr>
        <w:t>1800</w:t>
      </w:r>
      <w:r w:rsidRPr="003C5696">
        <w:t xml:space="preserve"> element and the Pou5f1 gene.</w:t>
      </w:r>
      <w:r w:rsidR="00386939">
        <w:t>;</w:t>
      </w:r>
      <w:r w:rsidR="003C5696" w:rsidRPr="003C5696">
        <w:t xml:space="preserve"> (</w:t>
      </w:r>
      <w:r w:rsidR="003C5696" w:rsidRPr="003C5696">
        <w:rPr>
          <w:b/>
        </w:rPr>
        <w:t>E</w:t>
      </w:r>
      <w:r w:rsidR="003C5696" w:rsidRPr="003C5696">
        <w:t xml:space="preserve">) </w:t>
      </w:r>
      <w:r w:rsidRPr="003C5696">
        <w:t>Representative fluorescence microscopy</w:t>
      </w:r>
      <w:r w:rsidR="00386939">
        <w:t xml:space="preserve"> i</w:t>
      </w:r>
      <w:r w:rsidRPr="003C5696">
        <w:t>mages taken from a time-course reprogramming exper</w:t>
      </w:r>
      <w:r w:rsidRPr="003C5696">
        <w:t>i</w:t>
      </w:r>
      <w:r w:rsidRPr="003C5696">
        <w:t>ment using MEFs transduced with the lenti-virus bearing the Upp1</w:t>
      </w:r>
      <w:r w:rsidRPr="003C5696">
        <w:rPr>
          <w:vertAlign w:val="subscript"/>
        </w:rPr>
        <w:t>800</w:t>
      </w:r>
      <w:r w:rsidRPr="003C5696">
        <w:t>-GFP reporter cassette</w:t>
      </w:r>
      <w:r w:rsidR="00386939">
        <w:t>,</w:t>
      </w:r>
      <w:r w:rsidRPr="003C5696">
        <w:t xml:space="preserve"> as i</w:t>
      </w:r>
      <w:r w:rsidRPr="003C5696">
        <w:t>n</w:t>
      </w:r>
      <w:r w:rsidRPr="003C5696">
        <w:t xml:space="preserve">dicated. The </w:t>
      </w:r>
      <w:proofErr w:type="gramStart"/>
      <w:r w:rsidRPr="003C5696">
        <w:t>GFP(</w:t>
      </w:r>
      <w:proofErr w:type="gramEnd"/>
      <w:r w:rsidRPr="003C5696">
        <w:t>+) cells were isolated on day 4 of reprogramming and after re-plating were left to continue the reprogramming process. The images depict the same region of the plate as it develops to iPSCs during the reprogramming process. The brightfield (phase contrast) and fluores</w:t>
      </w:r>
      <w:r w:rsidR="00386939">
        <w:t>c</w:t>
      </w:r>
      <w:r w:rsidRPr="003C5696">
        <w:t>ence images have been merged for each picture. Scale bar: 100</w:t>
      </w:r>
      <w:r w:rsidRPr="003C5696">
        <w:rPr>
          <w:lang w:val="el-GR"/>
        </w:rPr>
        <w:t>μ</w:t>
      </w:r>
      <w:r w:rsidRPr="003C5696">
        <w:t>m.</w:t>
      </w:r>
      <w:r w:rsidR="00386939">
        <w:t>;</w:t>
      </w:r>
      <w:r w:rsidRPr="003C5696">
        <w:t xml:space="preserve"> </w:t>
      </w:r>
      <w:r w:rsidR="003C5696" w:rsidRPr="003C5696">
        <w:t>(</w:t>
      </w:r>
      <w:r w:rsidR="003C5696" w:rsidRPr="003C5696">
        <w:rPr>
          <w:b/>
        </w:rPr>
        <w:t>F</w:t>
      </w:r>
      <w:r w:rsidR="003C5696" w:rsidRPr="003C5696">
        <w:t xml:space="preserve">) </w:t>
      </w:r>
      <w:r w:rsidR="00386939">
        <w:t>Dot-</w:t>
      </w:r>
      <w:r w:rsidRPr="003C5696">
        <w:t>plots depicting normalized counts for the expression of Tead4, Tfap4, Taf1c, Rcan1, Cbfa2t3, Ovol1 and Nanog genes in the Upp1</w:t>
      </w:r>
      <w:r w:rsidRPr="003C5696">
        <w:rPr>
          <w:vertAlign w:val="subscript"/>
        </w:rPr>
        <w:t>800</w:t>
      </w:r>
      <w:r w:rsidRPr="003C5696">
        <w:t>-GFP(+) and GFP(-) cells</w:t>
      </w:r>
      <w:r w:rsidR="00386939">
        <w:t>,</w:t>
      </w:r>
      <w:r w:rsidRPr="003C5696">
        <w:t xml:space="preserve"> as calculated by RNA-seq on </w:t>
      </w:r>
      <w:r w:rsidR="00386939">
        <w:t>d</w:t>
      </w:r>
      <w:r w:rsidRPr="003C5696">
        <w:t>ay 2 of reprogramming. Two bi</w:t>
      </w:r>
      <w:r w:rsidRPr="003C5696">
        <w:t>o</w:t>
      </w:r>
      <w:r w:rsidRPr="003C5696">
        <w:t xml:space="preserve">logical replicates are depicted. The mean and the standard error are also </w:t>
      </w:r>
      <w:proofErr w:type="gramStart"/>
      <w:r w:rsidRPr="003C5696">
        <w:t>depicted.</w:t>
      </w:r>
      <w:r w:rsidR="00386939">
        <w:t>;</w:t>
      </w:r>
      <w:proofErr w:type="gramEnd"/>
      <w:r w:rsidR="003C5696" w:rsidRPr="003C5696">
        <w:t xml:space="preserve"> (</w:t>
      </w:r>
      <w:r w:rsidR="003C5696" w:rsidRPr="003C5696">
        <w:rPr>
          <w:b/>
        </w:rPr>
        <w:t>G</w:t>
      </w:r>
      <w:r w:rsidR="003C5696" w:rsidRPr="003C5696">
        <w:t xml:space="preserve">) </w:t>
      </w:r>
      <w:r w:rsidRPr="003C5696">
        <w:t xml:space="preserve">Bar-chart depicting the relative expression units of Snail and </w:t>
      </w:r>
      <w:r w:rsidR="00386939">
        <w:t>V</w:t>
      </w:r>
      <w:r w:rsidRPr="003C5696">
        <w:t>imentin (Vim) in the Upp1</w:t>
      </w:r>
      <w:r w:rsidRPr="003C5696">
        <w:rPr>
          <w:vertAlign w:val="subscript"/>
        </w:rPr>
        <w:t>800</w:t>
      </w:r>
      <w:r w:rsidRPr="003C5696">
        <w:t xml:space="preserve">-GFP(+) and GFP(-) on day 4 (day of isolation) and </w:t>
      </w:r>
      <w:r w:rsidR="00386939">
        <w:t xml:space="preserve">12 days </w:t>
      </w:r>
      <w:r w:rsidRPr="003C5696">
        <w:t>after isolation of the cells. Two biological replicates are depicted for each cell type. The mean and the standard error are also depicted. Unpaired two-tailed t-test was performed and the statistical</w:t>
      </w:r>
      <w:r w:rsidR="00386939">
        <w:t xml:space="preserve">ly </w:t>
      </w:r>
      <w:r w:rsidRPr="003C5696">
        <w:t xml:space="preserve">significant differences are represented on the figure (Snail-12 days after sorting: t=4.328, </w:t>
      </w:r>
      <w:proofErr w:type="gramStart"/>
      <w:r w:rsidRPr="003C5696">
        <w:t>df=</w:t>
      </w:r>
      <w:proofErr w:type="gramEnd"/>
      <w:r w:rsidRPr="003C5696">
        <w:t>2, p-value=0.0495, Vim-day 4: t=9.560, df=2, p-value=0.0108). *: p-value &lt; 0.05</w:t>
      </w:r>
    </w:p>
    <w:p w:rsidR="003C5696" w:rsidRDefault="003C5696">
      <w:pPr>
        <w:spacing w:line="240" w:lineRule="auto"/>
        <w:jc w:val="left"/>
        <w:rPr>
          <w:rFonts w:eastAsia="Times New Roman"/>
          <w:b/>
          <w:noProof w:val="0"/>
          <w:sz w:val="18"/>
          <w:lang w:eastAsia="de-DE" w:bidi="en-US"/>
        </w:rPr>
      </w:pPr>
      <w:r>
        <w:rPr>
          <w:b/>
        </w:rPr>
        <w:br w:type="page"/>
      </w:r>
    </w:p>
    <w:p w:rsidR="003C5696" w:rsidRPr="003C5696" w:rsidRDefault="003C5696" w:rsidP="003C5696">
      <w:pPr>
        <w:pStyle w:val="MDPI51figurecaption"/>
        <w:ind w:left="0"/>
        <w:jc w:val="left"/>
        <w:rPr>
          <w:b/>
          <w:noProof/>
          <w:lang w:eastAsia="en-US" w:bidi="ar-SA"/>
        </w:rPr>
      </w:pPr>
      <w:r w:rsidRPr="003C5696">
        <w:rPr>
          <w:b/>
          <w:noProof/>
          <w:lang w:eastAsia="en-US" w:bidi="ar-SA"/>
        </w:rPr>
        <w:lastRenderedPageBreak/>
        <w:t>Figure S6</w:t>
      </w:r>
    </w:p>
    <w:p w:rsidR="003C5696" w:rsidRDefault="003C5696" w:rsidP="003C5696">
      <w:pPr>
        <w:pStyle w:val="MDPI51figurecaption"/>
        <w:ind w:left="0"/>
        <w:jc w:val="center"/>
        <w:rPr>
          <w:b/>
        </w:rPr>
      </w:pPr>
      <w:r>
        <w:rPr>
          <w:noProof/>
          <w:lang w:eastAsia="en-US" w:bidi="ar-SA"/>
        </w:rPr>
        <w:drawing>
          <wp:inline distT="0" distB="0" distL="0" distR="0" wp14:anchorId="572052E1" wp14:editId="0E1863E6">
            <wp:extent cx="6191981" cy="8488680"/>
            <wp:effectExtent l="0" t="0" r="0" b="7620"/>
            <wp:docPr id="12" name="Picture 12" descr="C:\Users\User\Desktop\Klagkou et al\Figures_final\FigureS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Klagkou et al\Figures_final\FigureS6.T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87596" cy="8482668"/>
                    </a:xfrm>
                    <a:prstGeom prst="rect">
                      <a:avLst/>
                    </a:prstGeom>
                    <a:noFill/>
                    <a:ln>
                      <a:noFill/>
                    </a:ln>
                  </pic:spPr>
                </pic:pic>
              </a:graphicData>
            </a:graphic>
          </wp:inline>
        </w:drawing>
      </w:r>
    </w:p>
    <w:p w:rsidR="00A24377" w:rsidRDefault="003D422C" w:rsidP="003C5696">
      <w:pPr>
        <w:pStyle w:val="MDPI51figurecaption"/>
        <w:ind w:firstLine="425"/>
      </w:pPr>
      <w:r w:rsidRPr="003D422C">
        <w:rPr>
          <w:b/>
        </w:rPr>
        <w:lastRenderedPageBreak/>
        <w:t>Figure S6. Dense subnetworks of the DEGs from the day 2 Upp1</w:t>
      </w:r>
      <w:r w:rsidRPr="003D422C">
        <w:rPr>
          <w:b/>
          <w:vertAlign w:val="subscript"/>
        </w:rPr>
        <w:t>800</w:t>
      </w:r>
      <w:r w:rsidRPr="003D422C">
        <w:rPr>
          <w:b/>
        </w:rPr>
        <w:t>-GFP(+) and GFP(-) cells</w:t>
      </w:r>
      <w:r w:rsidR="00386939">
        <w:rPr>
          <w:b/>
        </w:rPr>
        <w:t>’</w:t>
      </w:r>
      <w:r w:rsidRPr="003D422C">
        <w:rPr>
          <w:b/>
        </w:rPr>
        <w:t xml:space="preserve"> RNA-seq.</w:t>
      </w:r>
      <w:r w:rsidR="003C5696">
        <w:rPr>
          <w:b/>
        </w:rPr>
        <w:t xml:space="preserve"> </w:t>
      </w:r>
      <w:r w:rsidR="003C5696" w:rsidRPr="003C5696">
        <w:t>(</w:t>
      </w:r>
      <w:r w:rsidRPr="003C5696">
        <w:rPr>
          <w:b/>
        </w:rPr>
        <w:t>A-J</w:t>
      </w:r>
      <w:r w:rsidR="003C5696" w:rsidRPr="003C5696">
        <w:t>)</w:t>
      </w:r>
      <w:r w:rsidRPr="003C5696">
        <w:t xml:space="preserve"> Reconstruction of clusters extracted from the whole DEG network assembled from the Upp1</w:t>
      </w:r>
      <w:r w:rsidRPr="003C5696">
        <w:rPr>
          <w:vertAlign w:val="subscript"/>
        </w:rPr>
        <w:t>800</w:t>
      </w:r>
      <w:r w:rsidR="00386939">
        <w:t>-</w:t>
      </w:r>
      <w:r w:rsidRPr="003C5696">
        <w:t>GFP(+) cells</w:t>
      </w:r>
      <w:r w:rsidR="00386939">
        <w:t>,</w:t>
      </w:r>
      <w:r w:rsidRPr="003C5696">
        <w:t xml:space="preserve"> as compared to GFP(-) cells</w:t>
      </w:r>
      <w:r w:rsidR="00386939">
        <w:t>,</w:t>
      </w:r>
      <w:r w:rsidRPr="003C5696">
        <w:t xml:space="preserve"> in Cytoscape using the MCODE algorithm. The clusters were sorted from 1-10</w:t>
      </w:r>
      <w:r w:rsidR="00386939">
        <w:t>,</w:t>
      </w:r>
      <w:r w:rsidRPr="003C5696">
        <w:t xml:space="preserve"> based on their individual </w:t>
      </w:r>
      <w:r w:rsidR="00386939">
        <w:t xml:space="preserve">clustering </w:t>
      </w:r>
      <w:r w:rsidRPr="003C5696">
        <w:t>score. The down-regulated genes are shown in shades of blue, while the up-regulated genes are shown in red. Functional e</w:t>
      </w:r>
      <w:r w:rsidRPr="003C5696">
        <w:t>n</w:t>
      </w:r>
      <w:r w:rsidRPr="003C5696">
        <w:t xml:space="preserve">richment analysis of the cluster nodes is </w:t>
      </w:r>
      <w:r w:rsidR="00386939">
        <w:t>shown</w:t>
      </w:r>
      <w:r w:rsidRPr="003C5696">
        <w:t xml:space="preserve"> below </w:t>
      </w:r>
      <w:r w:rsidR="00386939">
        <w:t>each</w:t>
      </w:r>
      <w:r w:rsidRPr="003C5696">
        <w:t xml:space="preserve"> cluster</w:t>
      </w:r>
      <w:r w:rsidR="00386939">
        <w:t>,</w:t>
      </w:r>
      <w:r w:rsidRPr="003C5696">
        <w:t xml:space="preserve"> </w:t>
      </w:r>
      <w:r w:rsidR="00386939">
        <w:t>depicting</w:t>
      </w:r>
      <w:r w:rsidRPr="003C5696">
        <w:t xml:space="preserve"> the top 5 terms based on increasing FDR value. The libraries GO Biological Process (non-redundant terms) and Reactome Pathways (non-redundant terms) were used. The grey dashed line corresponds to FDR=0.01.</w:t>
      </w:r>
    </w:p>
    <w:sectPr w:rsidR="00A24377" w:rsidSect="00025988">
      <w:headerReference w:type="even" r:id="rId15"/>
      <w:headerReference w:type="default" r:id="rId16"/>
      <w:footerReference w:type="default" r:id="rId17"/>
      <w:headerReference w:type="first" r:id="rId18"/>
      <w:footerReference w:type="first" r:id="rId19"/>
      <w:type w:val="continuous"/>
      <w:pgSz w:w="11906" w:h="16838" w:code="9"/>
      <w:pgMar w:top="1417" w:right="707" w:bottom="1077" w:left="720" w:header="1020"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021D" w:rsidRDefault="0067021D">
      <w:pPr>
        <w:spacing w:line="240" w:lineRule="auto"/>
      </w:pPr>
      <w:r>
        <w:separator/>
      </w:r>
    </w:p>
  </w:endnote>
  <w:endnote w:type="continuationSeparator" w:id="0">
    <w:p w:rsidR="0067021D" w:rsidRDefault="0067021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等线 Light">
    <w:altName w:val="Arial Unicode MS"/>
    <w:charset w:val="86"/>
    <w:family w:val="auto"/>
    <w:pitch w:val="variable"/>
    <w:sig w:usb0="00000000" w:usb1="38CF7CFA" w:usb2="00000016" w:usb3="00000000" w:csb0="0004000F" w:csb1="00000000"/>
  </w:font>
  <w:font w:name="Cordia New">
    <w:altName w:val="Arial Unicode MS"/>
    <w:panose1 w:val="020B0304020202020204"/>
    <w:charset w:val="DE"/>
    <w:family w:val="roman"/>
    <w:notTrueType/>
    <w:pitch w:val="variable"/>
    <w:sig w:usb0="01000000" w:usb1="00000000" w:usb2="00000000" w:usb3="00000000" w:csb0="00010000" w:csb1="00000000"/>
  </w:font>
  <w:font w:name="Tahoma">
    <w:panose1 w:val="020B0604030504040204"/>
    <w:charset w:val="00"/>
    <w:family w:val="swiss"/>
    <w:pitch w:val="variable"/>
    <w:sig w:usb0="E1002EFF" w:usb1="C000605B" w:usb2="00000029" w:usb3="00000000" w:csb0="000101FF"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3D48" w:rsidRPr="00A71A3D" w:rsidRDefault="008E3D48" w:rsidP="0004400E">
    <w:pPr>
      <w:pStyle w:val="Footer"/>
      <w:spacing w:line="240" w:lineRule="auto"/>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3D48" w:rsidRDefault="008E3D48" w:rsidP="00A24869">
    <w:pPr>
      <w:pStyle w:val="MDPIfooterfirstpage"/>
      <w:pBdr>
        <w:top w:val="single" w:sz="4" w:space="0" w:color="000000"/>
      </w:pBdr>
      <w:adjustRightInd w:val="0"/>
      <w:snapToGrid w:val="0"/>
      <w:spacing w:before="480" w:line="100" w:lineRule="exact"/>
      <w:rPr>
        <w:i/>
        <w:iCs/>
        <w:lang w:val="fr-CH"/>
      </w:rPr>
    </w:pPr>
  </w:p>
  <w:p w:rsidR="008E3D48" w:rsidRPr="008B308E" w:rsidRDefault="008E3D48" w:rsidP="004340C2">
    <w:pPr>
      <w:pStyle w:val="MDPIfooterfirstpage"/>
      <w:tabs>
        <w:tab w:val="clear" w:pos="8845"/>
        <w:tab w:val="right" w:pos="10466"/>
      </w:tabs>
      <w:spacing w:line="240" w:lineRule="auto"/>
      <w:jc w:val="both"/>
      <w:rPr>
        <w:lang w:val="fr-CH"/>
      </w:rPr>
    </w:pPr>
    <w:r w:rsidRPr="00B04A30">
      <w:rPr>
        <w:i/>
        <w:iCs/>
        <w:lang w:val="fr-CH"/>
      </w:rPr>
      <w:t>Int. J. Mol. Sci.</w:t>
    </w:r>
    <w:r w:rsidRPr="00176A50">
      <w:rPr>
        <w:i/>
        <w:lang w:val="fr-CH"/>
      </w:rPr>
      <w:t xml:space="preserve"> </w:t>
    </w:r>
    <w:r>
      <w:rPr>
        <w:b/>
        <w:iCs/>
        <w:lang w:val="fr-CH"/>
      </w:rPr>
      <w:t>2024</w:t>
    </w:r>
    <w:r w:rsidRPr="00506BC0">
      <w:rPr>
        <w:iCs/>
        <w:lang w:val="fr-CH"/>
      </w:rPr>
      <w:t>,</w:t>
    </w:r>
    <w:r>
      <w:rPr>
        <w:i/>
        <w:iCs/>
        <w:lang w:val="fr-CH"/>
      </w:rPr>
      <w:t xml:space="preserve"> 25</w:t>
    </w:r>
    <w:r w:rsidRPr="00506BC0">
      <w:rPr>
        <w:iCs/>
        <w:lang w:val="fr-CH"/>
      </w:rPr>
      <w:t xml:space="preserve">, </w:t>
    </w:r>
    <w:r>
      <w:rPr>
        <w:iCs/>
        <w:lang w:val="fr-CH"/>
      </w:rPr>
      <w:t>x. https://doi.org/10.3390/xxxxx</w:t>
    </w:r>
    <w:r w:rsidRPr="008B308E">
      <w:rPr>
        <w:lang w:val="fr-CH"/>
      </w:rPr>
      <w:tab/>
      <w:t>www.mdpi.com/journal/</w:t>
    </w:r>
    <w:r>
      <w:t>ijms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021D" w:rsidRDefault="0067021D">
      <w:pPr>
        <w:spacing w:line="240" w:lineRule="auto"/>
      </w:pPr>
      <w:r>
        <w:separator/>
      </w:r>
    </w:p>
  </w:footnote>
  <w:footnote w:type="continuationSeparator" w:id="0">
    <w:p w:rsidR="0067021D" w:rsidRDefault="0067021D">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3D48" w:rsidRDefault="008E3D48" w:rsidP="0004400E">
    <w:pPr>
      <w:pStyle w:val="Header"/>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3D48" w:rsidRDefault="008E3D48" w:rsidP="004340C2">
    <w:pPr>
      <w:tabs>
        <w:tab w:val="right" w:pos="10466"/>
      </w:tabs>
      <w:adjustRightInd w:val="0"/>
      <w:snapToGrid w:val="0"/>
      <w:spacing w:line="240" w:lineRule="auto"/>
      <w:rPr>
        <w:sz w:val="16"/>
      </w:rPr>
    </w:pPr>
    <w:r>
      <w:rPr>
        <w:i/>
        <w:sz w:val="16"/>
      </w:rPr>
      <w:t xml:space="preserve">Int. J. Mol. Sci. </w:t>
    </w:r>
    <w:r>
      <w:rPr>
        <w:b/>
        <w:sz w:val="16"/>
      </w:rPr>
      <w:t>2024</w:t>
    </w:r>
    <w:r w:rsidRPr="00506BC0">
      <w:rPr>
        <w:sz w:val="16"/>
      </w:rPr>
      <w:t>,</w:t>
    </w:r>
    <w:r>
      <w:rPr>
        <w:i/>
        <w:sz w:val="16"/>
      </w:rPr>
      <w:t xml:space="preserve"> 25</w:t>
    </w:r>
    <w:r>
      <w:rPr>
        <w:sz w:val="16"/>
      </w:rPr>
      <w:t>, x FOR PEER REVIEW</w:t>
    </w:r>
    <w:r>
      <w:rPr>
        <w:sz w:val="16"/>
      </w:rPr>
      <w:tab/>
    </w:r>
    <w:r>
      <w:rPr>
        <w:sz w:val="16"/>
      </w:rPr>
      <w:fldChar w:fldCharType="begin"/>
    </w:r>
    <w:r>
      <w:rPr>
        <w:sz w:val="16"/>
      </w:rPr>
      <w:instrText xml:space="preserve"> PAGE   \* MERGEFORMAT </w:instrText>
    </w:r>
    <w:r>
      <w:rPr>
        <w:sz w:val="16"/>
      </w:rPr>
      <w:fldChar w:fldCharType="separate"/>
    </w:r>
    <w:r w:rsidR="00A64497">
      <w:rPr>
        <w:sz w:val="16"/>
      </w:rPr>
      <w:t>7</w:t>
    </w:r>
    <w:r>
      <w:rPr>
        <w:sz w:val="16"/>
      </w:rPr>
      <w:fldChar w:fldCharType="end"/>
    </w:r>
    <w:r>
      <w:rPr>
        <w:sz w:val="16"/>
      </w:rPr>
      <w:t xml:space="preserve"> of </w:t>
    </w:r>
    <w:r>
      <w:rPr>
        <w:sz w:val="16"/>
      </w:rPr>
      <w:fldChar w:fldCharType="begin"/>
    </w:r>
    <w:r>
      <w:rPr>
        <w:sz w:val="16"/>
      </w:rPr>
      <w:instrText xml:space="preserve"> NUMPAGES   \* MERGEFORMAT </w:instrText>
    </w:r>
    <w:r>
      <w:rPr>
        <w:sz w:val="16"/>
      </w:rPr>
      <w:fldChar w:fldCharType="separate"/>
    </w:r>
    <w:r w:rsidR="00A64497">
      <w:rPr>
        <w:sz w:val="16"/>
      </w:rPr>
      <w:t>9</w:t>
    </w:r>
    <w:r>
      <w:rPr>
        <w:sz w:val="16"/>
      </w:rPr>
      <w:fldChar w:fldCharType="end"/>
    </w:r>
  </w:p>
  <w:p w:rsidR="008E3D48" w:rsidRPr="003257E1" w:rsidRDefault="008E3D48" w:rsidP="00A24869">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487" w:type="dxa"/>
      <w:tblCellMar>
        <w:left w:w="0" w:type="dxa"/>
        <w:right w:w="0" w:type="dxa"/>
      </w:tblCellMar>
      <w:tblLook w:val="04A0" w:firstRow="1" w:lastRow="0" w:firstColumn="1" w:lastColumn="0" w:noHBand="0" w:noVBand="1"/>
    </w:tblPr>
    <w:tblGrid>
      <w:gridCol w:w="3679"/>
      <w:gridCol w:w="4535"/>
      <w:gridCol w:w="2273"/>
    </w:tblGrid>
    <w:tr w:rsidR="008E3D48" w:rsidRPr="004340C2" w:rsidTr="008D62D4">
      <w:trPr>
        <w:trHeight w:val="686"/>
      </w:trPr>
      <w:tc>
        <w:tcPr>
          <w:tcW w:w="3679" w:type="dxa"/>
          <w:shd w:val="clear" w:color="auto" w:fill="auto"/>
          <w:vAlign w:val="center"/>
        </w:tcPr>
        <w:p w:rsidR="008E3D48" w:rsidRPr="00762525" w:rsidRDefault="008E3D48" w:rsidP="004340C2">
          <w:pPr>
            <w:pStyle w:val="Header"/>
            <w:pBdr>
              <w:bottom w:val="none" w:sz="0" w:space="0" w:color="auto"/>
            </w:pBdr>
            <w:jc w:val="left"/>
            <w:rPr>
              <w:rFonts w:eastAsia="等线"/>
              <w:b/>
              <w:bCs/>
            </w:rPr>
          </w:pPr>
          <w:r w:rsidRPr="00762525">
            <w:rPr>
              <w:rFonts w:eastAsia="等线"/>
              <w:b/>
              <w:bCs/>
              <w:lang w:eastAsia="en-US"/>
            </w:rPr>
            <w:drawing>
              <wp:inline distT="0" distB="0" distL="0" distR="0" wp14:anchorId="5A1E550A" wp14:editId="58B135AD">
                <wp:extent cx="1669415" cy="436245"/>
                <wp:effectExtent l="0" t="0" r="0" b="0"/>
                <wp:docPr id="1" name="Picture 3" descr="C:\Users\home\Desktop\logos\ijms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ijms_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69415" cy="436245"/>
                        </a:xfrm>
                        <a:prstGeom prst="rect">
                          <a:avLst/>
                        </a:prstGeom>
                        <a:noFill/>
                        <a:ln>
                          <a:noFill/>
                        </a:ln>
                      </pic:spPr>
                    </pic:pic>
                  </a:graphicData>
                </a:graphic>
              </wp:inline>
            </w:drawing>
          </w:r>
        </w:p>
      </w:tc>
      <w:tc>
        <w:tcPr>
          <w:tcW w:w="4535" w:type="dxa"/>
          <w:shd w:val="clear" w:color="auto" w:fill="auto"/>
          <w:vAlign w:val="center"/>
        </w:tcPr>
        <w:p w:rsidR="008E3D48" w:rsidRPr="00762525" w:rsidRDefault="008E3D48" w:rsidP="004340C2">
          <w:pPr>
            <w:pStyle w:val="Header"/>
            <w:pBdr>
              <w:bottom w:val="none" w:sz="0" w:space="0" w:color="auto"/>
            </w:pBdr>
            <w:rPr>
              <w:rFonts w:eastAsia="等线"/>
              <w:b/>
              <w:bCs/>
            </w:rPr>
          </w:pPr>
        </w:p>
      </w:tc>
      <w:tc>
        <w:tcPr>
          <w:tcW w:w="2273" w:type="dxa"/>
          <w:shd w:val="clear" w:color="auto" w:fill="auto"/>
          <w:vAlign w:val="center"/>
        </w:tcPr>
        <w:p w:rsidR="008E3D48" w:rsidRPr="00762525" w:rsidRDefault="008E3D48" w:rsidP="008D62D4">
          <w:pPr>
            <w:pStyle w:val="Header"/>
            <w:pBdr>
              <w:bottom w:val="none" w:sz="0" w:space="0" w:color="auto"/>
            </w:pBdr>
            <w:jc w:val="right"/>
            <w:rPr>
              <w:rFonts w:eastAsia="等线"/>
              <w:b/>
              <w:bCs/>
            </w:rPr>
          </w:pPr>
          <w:r>
            <w:rPr>
              <w:rFonts w:eastAsia="等线"/>
              <w:b/>
              <w:bCs/>
              <w:lang w:eastAsia="en-US"/>
            </w:rPr>
            <w:drawing>
              <wp:inline distT="0" distB="0" distL="0" distR="0" wp14:anchorId="21650DE8" wp14:editId="3CD351E0">
                <wp:extent cx="540000" cy="360000"/>
                <wp:effectExtent l="0" t="0" r="0" b="2540"/>
                <wp:docPr id="574608382" name="Picture 1"/>
                <wp:cNvGraphicFramePr/>
                <a:graphic xmlns:a="http://schemas.openxmlformats.org/drawingml/2006/main">
                  <a:graphicData uri="http://schemas.openxmlformats.org/drawingml/2006/picture">
                    <pic:pic xmlns:pic="http://schemas.openxmlformats.org/drawingml/2006/picture">
                      <pic:nvPicPr>
                        <pic:cNvPr id="574608382" name=""/>
                        <pic:cNvPicPr/>
                      </pic:nvPicPr>
                      <pic:blipFill>
                        <a:blip r:embed="rId2"/>
                        <a:stretch>
                          <a:fillRect/>
                        </a:stretch>
                      </pic:blipFill>
                      <pic:spPr>
                        <a:xfrm>
                          <a:off x="0" y="0"/>
                          <a:ext cx="540000" cy="360000"/>
                        </a:xfrm>
                        <a:prstGeom prst="rect">
                          <a:avLst/>
                        </a:prstGeom>
                      </pic:spPr>
                    </pic:pic>
                  </a:graphicData>
                </a:graphic>
              </wp:inline>
            </w:drawing>
          </w:r>
        </w:p>
      </w:tc>
    </w:tr>
  </w:tbl>
  <w:p w:rsidR="008E3D48" w:rsidRPr="00471F5A" w:rsidRDefault="008E3D48" w:rsidP="00A24869">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E05FA"/>
    <w:multiLevelType w:val="hybridMultilevel"/>
    <w:tmpl w:val="464A1744"/>
    <w:lvl w:ilvl="0" w:tplc="13282AE0">
      <w:start w:val="1"/>
      <w:numFmt w:val="upperLetter"/>
      <w:lvlText w:val="%1."/>
      <w:lvlJc w:val="left"/>
      <w:pPr>
        <w:ind w:left="587" w:hanging="360"/>
      </w:pPr>
      <w:rPr>
        <w:rFonts w:hint="default"/>
      </w:rPr>
    </w:lvl>
    <w:lvl w:ilvl="1" w:tplc="04090019" w:tentative="1">
      <w:start w:val="1"/>
      <w:numFmt w:val="lowerLetter"/>
      <w:lvlText w:val="%2."/>
      <w:lvlJc w:val="left"/>
      <w:pPr>
        <w:ind w:left="1307" w:hanging="360"/>
      </w:pPr>
    </w:lvl>
    <w:lvl w:ilvl="2" w:tplc="0409001B" w:tentative="1">
      <w:start w:val="1"/>
      <w:numFmt w:val="lowerRoman"/>
      <w:lvlText w:val="%3."/>
      <w:lvlJc w:val="right"/>
      <w:pPr>
        <w:ind w:left="2027" w:hanging="180"/>
      </w:pPr>
    </w:lvl>
    <w:lvl w:ilvl="3" w:tplc="0409000F" w:tentative="1">
      <w:start w:val="1"/>
      <w:numFmt w:val="decimal"/>
      <w:lvlText w:val="%4."/>
      <w:lvlJc w:val="left"/>
      <w:pPr>
        <w:ind w:left="2747" w:hanging="360"/>
      </w:pPr>
    </w:lvl>
    <w:lvl w:ilvl="4" w:tplc="04090019" w:tentative="1">
      <w:start w:val="1"/>
      <w:numFmt w:val="lowerLetter"/>
      <w:lvlText w:val="%5."/>
      <w:lvlJc w:val="left"/>
      <w:pPr>
        <w:ind w:left="3467" w:hanging="360"/>
      </w:pPr>
    </w:lvl>
    <w:lvl w:ilvl="5" w:tplc="0409001B" w:tentative="1">
      <w:start w:val="1"/>
      <w:numFmt w:val="lowerRoman"/>
      <w:lvlText w:val="%6."/>
      <w:lvlJc w:val="right"/>
      <w:pPr>
        <w:ind w:left="4187" w:hanging="180"/>
      </w:pPr>
    </w:lvl>
    <w:lvl w:ilvl="6" w:tplc="0409000F" w:tentative="1">
      <w:start w:val="1"/>
      <w:numFmt w:val="decimal"/>
      <w:lvlText w:val="%7."/>
      <w:lvlJc w:val="left"/>
      <w:pPr>
        <w:ind w:left="4907" w:hanging="360"/>
      </w:pPr>
    </w:lvl>
    <w:lvl w:ilvl="7" w:tplc="04090019" w:tentative="1">
      <w:start w:val="1"/>
      <w:numFmt w:val="lowerLetter"/>
      <w:lvlText w:val="%8."/>
      <w:lvlJc w:val="left"/>
      <w:pPr>
        <w:ind w:left="5627" w:hanging="360"/>
      </w:pPr>
    </w:lvl>
    <w:lvl w:ilvl="8" w:tplc="0409001B" w:tentative="1">
      <w:start w:val="1"/>
      <w:numFmt w:val="lowerRoman"/>
      <w:lvlText w:val="%9."/>
      <w:lvlJc w:val="right"/>
      <w:pPr>
        <w:ind w:left="6347" w:hanging="180"/>
      </w:pPr>
    </w:lvl>
  </w:abstractNum>
  <w:abstractNum w:abstractNumId="1">
    <w:nsid w:val="18B468F5"/>
    <w:multiLevelType w:val="hybridMultilevel"/>
    <w:tmpl w:val="551C9AE8"/>
    <w:lvl w:ilvl="0" w:tplc="E264CA32">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952085B"/>
    <w:multiLevelType w:val="hybridMultilevel"/>
    <w:tmpl w:val="77E02BF6"/>
    <w:lvl w:ilvl="0" w:tplc="664029F2">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4">
    <w:nsid w:val="1EDE6D35"/>
    <w:multiLevelType w:val="hybridMultilevel"/>
    <w:tmpl w:val="B32E95E6"/>
    <w:lvl w:ilvl="0" w:tplc="424E00CA">
      <w:start w:val="1"/>
      <w:numFmt w:val="upperLetter"/>
      <w:lvlText w:val="(%1)"/>
      <w:lvlJc w:val="left"/>
      <w:pPr>
        <w:ind w:left="3393" w:hanging="360"/>
      </w:pPr>
      <w:rPr>
        <w:rFonts w:hint="default"/>
        <w:b/>
      </w:rPr>
    </w:lvl>
    <w:lvl w:ilvl="1" w:tplc="04090019" w:tentative="1">
      <w:start w:val="1"/>
      <w:numFmt w:val="lowerLetter"/>
      <w:lvlText w:val="%2."/>
      <w:lvlJc w:val="left"/>
      <w:pPr>
        <w:ind w:left="4113" w:hanging="360"/>
      </w:pPr>
    </w:lvl>
    <w:lvl w:ilvl="2" w:tplc="0409001B" w:tentative="1">
      <w:start w:val="1"/>
      <w:numFmt w:val="lowerRoman"/>
      <w:lvlText w:val="%3."/>
      <w:lvlJc w:val="right"/>
      <w:pPr>
        <w:ind w:left="4833" w:hanging="180"/>
      </w:pPr>
    </w:lvl>
    <w:lvl w:ilvl="3" w:tplc="0409000F" w:tentative="1">
      <w:start w:val="1"/>
      <w:numFmt w:val="decimal"/>
      <w:lvlText w:val="%4."/>
      <w:lvlJc w:val="left"/>
      <w:pPr>
        <w:ind w:left="5553" w:hanging="360"/>
      </w:pPr>
    </w:lvl>
    <w:lvl w:ilvl="4" w:tplc="04090019" w:tentative="1">
      <w:start w:val="1"/>
      <w:numFmt w:val="lowerLetter"/>
      <w:lvlText w:val="%5."/>
      <w:lvlJc w:val="left"/>
      <w:pPr>
        <w:ind w:left="6273" w:hanging="360"/>
      </w:pPr>
    </w:lvl>
    <w:lvl w:ilvl="5" w:tplc="0409001B" w:tentative="1">
      <w:start w:val="1"/>
      <w:numFmt w:val="lowerRoman"/>
      <w:lvlText w:val="%6."/>
      <w:lvlJc w:val="right"/>
      <w:pPr>
        <w:ind w:left="6993" w:hanging="180"/>
      </w:pPr>
    </w:lvl>
    <w:lvl w:ilvl="6" w:tplc="0409000F" w:tentative="1">
      <w:start w:val="1"/>
      <w:numFmt w:val="decimal"/>
      <w:lvlText w:val="%7."/>
      <w:lvlJc w:val="left"/>
      <w:pPr>
        <w:ind w:left="7713" w:hanging="360"/>
      </w:pPr>
    </w:lvl>
    <w:lvl w:ilvl="7" w:tplc="04090019" w:tentative="1">
      <w:start w:val="1"/>
      <w:numFmt w:val="lowerLetter"/>
      <w:lvlText w:val="%8."/>
      <w:lvlJc w:val="left"/>
      <w:pPr>
        <w:ind w:left="8433" w:hanging="360"/>
      </w:pPr>
    </w:lvl>
    <w:lvl w:ilvl="8" w:tplc="0409001B" w:tentative="1">
      <w:start w:val="1"/>
      <w:numFmt w:val="lowerRoman"/>
      <w:lvlText w:val="%9."/>
      <w:lvlJc w:val="right"/>
      <w:pPr>
        <w:ind w:left="9153" w:hanging="180"/>
      </w:pPr>
    </w:lvl>
  </w:abstractNum>
  <w:abstractNum w:abstractNumId="5">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7">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B19143E"/>
    <w:multiLevelType w:val="hybridMultilevel"/>
    <w:tmpl w:val="644EA4F2"/>
    <w:lvl w:ilvl="0" w:tplc="FB6E4FBC">
      <w:start w:val="1"/>
      <w:numFmt w:val="upperLetter"/>
      <w:lvlText w:val="%1."/>
      <w:lvlJc w:val="left"/>
      <w:pPr>
        <w:ind w:left="587" w:hanging="360"/>
      </w:pPr>
      <w:rPr>
        <w:rFonts w:hint="default"/>
      </w:rPr>
    </w:lvl>
    <w:lvl w:ilvl="1" w:tplc="04090019" w:tentative="1">
      <w:start w:val="1"/>
      <w:numFmt w:val="lowerLetter"/>
      <w:lvlText w:val="%2."/>
      <w:lvlJc w:val="left"/>
      <w:pPr>
        <w:ind w:left="1307" w:hanging="360"/>
      </w:pPr>
    </w:lvl>
    <w:lvl w:ilvl="2" w:tplc="0409001B" w:tentative="1">
      <w:start w:val="1"/>
      <w:numFmt w:val="lowerRoman"/>
      <w:lvlText w:val="%3."/>
      <w:lvlJc w:val="right"/>
      <w:pPr>
        <w:ind w:left="2027" w:hanging="180"/>
      </w:pPr>
    </w:lvl>
    <w:lvl w:ilvl="3" w:tplc="0409000F" w:tentative="1">
      <w:start w:val="1"/>
      <w:numFmt w:val="decimal"/>
      <w:lvlText w:val="%4."/>
      <w:lvlJc w:val="left"/>
      <w:pPr>
        <w:ind w:left="2747" w:hanging="360"/>
      </w:pPr>
    </w:lvl>
    <w:lvl w:ilvl="4" w:tplc="04090019" w:tentative="1">
      <w:start w:val="1"/>
      <w:numFmt w:val="lowerLetter"/>
      <w:lvlText w:val="%5."/>
      <w:lvlJc w:val="left"/>
      <w:pPr>
        <w:ind w:left="3467" w:hanging="360"/>
      </w:pPr>
    </w:lvl>
    <w:lvl w:ilvl="5" w:tplc="0409001B" w:tentative="1">
      <w:start w:val="1"/>
      <w:numFmt w:val="lowerRoman"/>
      <w:lvlText w:val="%6."/>
      <w:lvlJc w:val="right"/>
      <w:pPr>
        <w:ind w:left="4187" w:hanging="180"/>
      </w:pPr>
    </w:lvl>
    <w:lvl w:ilvl="6" w:tplc="0409000F" w:tentative="1">
      <w:start w:val="1"/>
      <w:numFmt w:val="decimal"/>
      <w:lvlText w:val="%7."/>
      <w:lvlJc w:val="left"/>
      <w:pPr>
        <w:ind w:left="4907" w:hanging="360"/>
      </w:pPr>
    </w:lvl>
    <w:lvl w:ilvl="7" w:tplc="04090019" w:tentative="1">
      <w:start w:val="1"/>
      <w:numFmt w:val="lowerLetter"/>
      <w:lvlText w:val="%8."/>
      <w:lvlJc w:val="left"/>
      <w:pPr>
        <w:ind w:left="5627" w:hanging="360"/>
      </w:pPr>
    </w:lvl>
    <w:lvl w:ilvl="8" w:tplc="0409001B" w:tentative="1">
      <w:start w:val="1"/>
      <w:numFmt w:val="lowerRoman"/>
      <w:lvlText w:val="%9."/>
      <w:lvlJc w:val="right"/>
      <w:pPr>
        <w:ind w:left="6347" w:hanging="180"/>
      </w:pPr>
    </w:lvl>
  </w:abstractNum>
  <w:abstractNum w:abstractNumId="9">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1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2">
    <w:nsid w:val="5FDD7CEF"/>
    <w:multiLevelType w:val="hybridMultilevel"/>
    <w:tmpl w:val="36E2DD5A"/>
    <w:lvl w:ilvl="0" w:tplc="23362D24">
      <w:start w:val="1"/>
      <w:numFmt w:val="upperLetter"/>
      <w:lvlText w:val="%1."/>
      <w:lvlJc w:val="left"/>
      <w:pPr>
        <w:ind w:left="587" w:hanging="360"/>
      </w:pPr>
      <w:rPr>
        <w:rFonts w:hint="default"/>
      </w:rPr>
    </w:lvl>
    <w:lvl w:ilvl="1" w:tplc="04090019" w:tentative="1">
      <w:start w:val="1"/>
      <w:numFmt w:val="lowerLetter"/>
      <w:lvlText w:val="%2."/>
      <w:lvlJc w:val="left"/>
      <w:pPr>
        <w:ind w:left="1307" w:hanging="360"/>
      </w:pPr>
    </w:lvl>
    <w:lvl w:ilvl="2" w:tplc="0409001B" w:tentative="1">
      <w:start w:val="1"/>
      <w:numFmt w:val="lowerRoman"/>
      <w:lvlText w:val="%3."/>
      <w:lvlJc w:val="right"/>
      <w:pPr>
        <w:ind w:left="2027" w:hanging="180"/>
      </w:pPr>
    </w:lvl>
    <w:lvl w:ilvl="3" w:tplc="0409000F" w:tentative="1">
      <w:start w:val="1"/>
      <w:numFmt w:val="decimal"/>
      <w:lvlText w:val="%4."/>
      <w:lvlJc w:val="left"/>
      <w:pPr>
        <w:ind w:left="2747" w:hanging="360"/>
      </w:pPr>
    </w:lvl>
    <w:lvl w:ilvl="4" w:tplc="04090019" w:tentative="1">
      <w:start w:val="1"/>
      <w:numFmt w:val="lowerLetter"/>
      <w:lvlText w:val="%5."/>
      <w:lvlJc w:val="left"/>
      <w:pPr>
        <w:ind w:left="3467" w:hanging="360"/>
      </w:pPr>
    </w:lvl>
    <w:lvl w:ilvl="5" w:tplc="0409001B" w:tentative="1">
      <w:start w:val="1"/>
      <w:numFmt w:val="lowerRoman"/>
      <w:lvlText w:val="%6."/>
      <w:lvlJc w:val="right"/>
      <w:pPr>
        <w:ind w:left="4187" w:hanging="180"/>
      </w:pPr>
    </w:lvl>
    <w:lvl w:ilvl="6" w:tplc="0409000F" w:tentative="1">
      <w:start w:val="1"/>
      <w:numFmt w:val="decimal"/>
      <w:lvlText w:val="%7."/>
      <w:lvlJc w:val="left"/>
      <w:pPr>
        <w:ind w:left="4907" w:hanging="360"/>
      </w:pPr>
    </w:lvl>
    <w:lvl w:ilvl="7" w:tplc="04090019" w:tentative="1">
      <w:start w:val="1"/>
      <w:numFmt w:val="lowerLetter"/>
      <w:lvlText w:val="%8."/>
      <w:lvlJc w:val="left"/>
      <w:pPr>
        <w:ind w:left="5627" w:hanging="360"/>
      </w:pPr>
    </w:lvl>
    <w:lvl w:ilvl="8" w:tplc="0409001B" w:tentative="1">
      <w:start w:val="1"/>
      <w:numFmt w:val="lowerRoman"/>
      <w:lvlText w:val="%9."/>
      <w:lvlJc w:val="right"/>
      <w:pPr>
        <w:ind w:left="6347" w:hanging="180"/>
      </w:pPr>
    </w:lvl>
  </w:abstractNum>
  <w:abstractNum w:abstractNumId="13">
    <w:nsid w:val="70012E46"/>
    <w:multiLevelType w:val="hybridMultilevel"/>
    <w:tmpl w:val="7946DCD0"/>
    <w:lvl w:ilvl="0" w:tplc="5C06B1C6">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6311A3B"/>
    <w:multiLevelType w:val="hybridMultilevel"/>
    <w:tmpl w:val="5EB4AE68"/>
    <w:lvl w:ilvl="0" w:tplc="42505D78">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num w:numId="1">
    <w:abstractNumId w:val="6"/>
  </w:num>
  <w:num w:numId="2">
    <w:abstractNumId w:val="9"/>
  </w:num>
  <w:num w:numId="3">
    <w:abstractNumId w:val="5"/>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11"/>
  </w:num>
  <w:num w:numId="7">
    <w:abstractNumId w:val="3"/>
  </w:num>
  <w:num w:numId="8">
    <w:abstractNumId w:val="11"/>
  </w:num>
  <w:num w:numId="9">
    <w:abstractNumId w:val="3"/>
  </w:num>
  <w:num w:numId="10">
    <w:abstractNumId w:val="11"/>
  </w:num>
  <w:num w:numId="11">
    <w:abstractNumId w:val="3"/>
  </w:num>
  <w:num w:numId="12">
    <w:abstractNumId w:val="14"/>
  </w:num>
  <w:num w:numId="13">
    <w:abstractNumId w:val="11"/>
  </w:num>
  <w:num w:numId="14">
    <w:abstractNumId w:val="3"/>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10"/>
  </w:num>
  <w:num w:numId="20">
    <w:abstractNumId w:val="1"/>
  </w:num>
  <w:num w:numId="21">
    <w:abstractNumId w:val="11"/>
  </w:num>
  <w:num w:numId="22">
    <w:abstractNumId w:val="3"/>
  </w:num>
  <w:num w:numId="23">
    <w:abstractNumId w:val="1"/>
  </w:num>
  <w:num w:numId="24">
    <w:abstractNumId w:val="2"/>
  </w:num>
  <w:num w:numId="25">
    <w:abstractNumId w:val="15"/>
  </w:num>
  <w:num w:numId="26">
    <w:abstractNumId w:val="13"/>
  </w:num>
  <w:num w:numId="27">
    <w:abstractNumId w:val="4"/>
  </w:num>
  <w:num w:numId="28">
    <w:abstractNumId w:val="12"/>
  </w:num>
  <w:num w:numId="29">
    <w:abstractNumId w:val="8"/>
  </w:num>
  <w:num w:numId="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drawingGridHorizontalSpacing w:val="10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2921"/>
    <w:rsid w:val="00021952"/>
    <w:rsid w:val="00025988"/>
    <w:rsid w:val="000348D8"/>
    <w:rsid w:val="00035FC3"/>
    <w:rsid w:val="00042AF8"/>
    <w:rsid w:val="0004400E"/>
    <w:rsid w:val="00044C0A"/>
    <w:rsid w:val="00045D93"/>
    <w:rsid w:val="0004721A"/>
    <w:rsid w:val="00050501"/>
    <w:rsid w:val="00053EBF"/>
    <w:rsid w:val="00080E5C"/>
    <w:rsid w:val="0009213F"/>
    <w:rsid w:val="000921A3"/>
    <w:rsid w:val="000A0F93"/>
    <w:rsid w:val="000B1F19"/>
    <w:rsid w:val="000B5171"/>
    <w:rsid w:val="000B74CE"/>
    <w:rsid w:val="000C151B"/>
    <w:rsid w:val="000C2465"/>
    <w:rsid w:val="000C504E"/>
    <w:rsid w:val="000D1C00"/>
    <w:rsid w:val="000E523B"/>
    <w:rsid w:val="000F1F3B"/>
    <w:rsid w:val="0010385C"/>
    <w:rsid w:val="00115303"/>
    <w:rsid w:val="00117EF8"/>
    <w:rsid w:val="00120C0D"/>
    <w:rsid w:val="00123A57"/>
    <w:rsid w:val="00144467"/>
    <w:rsid w:val="0016006D"/>
    <w:rsid w:val="00165FC5"/>
    <w:rsid w:val="001A1E76"/>
    <w:rsid w:val="001D349C"/>
    <w:rsid w:val="001D4D23"/>
    <w:rsid w:val="001E2AEB"/>
    <w:rsid w:val="001E4A07"/>
    <w:rsid w:val="001F4863"/>
    <w:rsid w:val="0020081E"/>
    <w:rsid w:val="00203ADB"/>
    <w:rsid w:val="0020514D"/>
    <w:rsid w:val="00211F69"/>
    <w:rsid w:val="0021217E"/>
    <w:rsid w:val="00216B83"/>
    <w:rsid w:val="002223FC"/>
    <w:rsid w:val="00222904"/>
    <w:rsid w:val="00234DCD"/>
    <w:rsid w:val="00240486"/>
    <w:rsid w:val="00272921"/>
    <w:rsid w:val="002752FC"/>
    <w:rsid w:val="002946D9"/>
    <w:rsid w:val="002A7D8B"/>
    <w:rsid w:val="002B125B"/>
    <w:rsid w:val="002B28FE"/>
    <w:rsid w:val="002E255F"/>
    <w:rsid w:val="002F3962"/>
    <w:rsid w:val="003040E0"/>
    <w:rsid w:val="00324292"/>
    <w:rsid w:val="00326141"/>
    <w:rsid w:val="00331431"/>
    <w:rsid w:val="00350B0F"/>
    <w:rsid w:val="00357E10"/>
    <w:rsid w:val="00370EC8"/>
    <w:rsid w:val="0037766B"/>
    <w:rsid w:val="00377F4F"/>
    <w:rsid w:val="003817A5"/>
    <w:rsid w:val="00386939"/>
    <w:rsid w:val="003A15E9"/>
    <w:rsid w:val="003A791E"/>
    <w:rsid w:val="003B7C96"/>
    <w:rsid w:val="003C5696"/>
    <w:rsid w:val="003D3232"/>
    <w:rsid w:val="003D422C"/>
    <w:rsid w:val="003E012D"/>
    <w:rsid w:val="003F0E95"/>
    <w:rsid w:val="003F1497"/>
    <w:rsid w:val="003F78CC"/>
    <w:rsid w:val="00401D30"/>
    <w:rsid w:val="0041581F"/>
    <w:rsid w:val="00425800"/>
    <w:rsid w:val="004340C2"/>
    <w:rsid w:val="00443AAF"/>
    <w:rsid w:val="004504C9"/>
    <w:rsid w:val="004505CF"/>
    <w:rsid w:val="004669B4"/>
    <w:rsid w:val="0046725B"/>
    <w:rsid w:val="00471F5A"/>
    <w:rsid w:val="00475043"/>
    <w:rsid w:val="004927A5"/>
    <w:rsid w:val="00495E95"/>
    <w:rsid w:val="004A046F"/>
    <w:rsid w:val="004A346F"/>
    <w:rsid w:val="004A5F9D"/>
    <w:rsid w:val="004B2A31"/>
    <w:rsid w:val="004D3B65"/>
    <w:rsid w:val="004E1851"/>
    <w:rsid w:val="00501D0F"/>
    <w:rsid w:val="00506BC0"/>
    <w:rsid w:val="00510C87"/>
    <w:rsid w:val="00511481"/>
    <w:rsid w:val="0051540B"/>
    <w:rsid w:val="0053256F"/>
    <w:rsid w:val="005332CC"/>
    <w:rsid w:val="00541109"/>
    <w:rsid w:val="00557B4B"/>
    <w:rsid w:val="00562123"/>
    <w:rsid w:val="005664C6"/>
    <w:rsid w:val="00570933"/>
    <w:rsid w:val="00570E5C"/>
    <w:rsid w:val="005B3082"/>
    <w:rsid w:val="005B6005"/>
    <w:rsid w:val="005C56A5"/>
    <w:rsid w:val="005C5DE8"/>
    <w:rsid w:val="005E3F59"/>
    <w:rsid w:val="00605718"/>
    <w:rsid w:val="00606DEF"/>
    <w:rsid w:val="006205C4"/>
    <w:rsid w:val="006372C3"/>
    <w:rsid w:val="00644710"/>
    <w:rsid w:val="00645D18"/>
    <w:rsid w:val="00646BFC"/>
    <w:rsid w:val="0065560B"/>
    <w:rsid w:val="00666C02"/>
    <w:rsid w:val="0067021D"/>
    <w:rsid w:val="0068381A"/>
    <w:rsid w:val="00686D0C"/>
    <w:rsid w:val="00690920"/>
    <w:rsid w:val="00691777"/>
    <w:rsid w:val="00692393"/>
    <w:rsid w:val="006A741F"/>
    <w:rsid w:val="006A74F9"/>
    <w:rsid w:val="006C6DB8"/>
    <w:rsid w:val="006C712C"/>
    <w:rsid w:val="006D7D99"/>
    <w:rsid w:val="006E1066"/>
    <w:rsid w:val="006F7353"/>
    <w:rsid w:val="006F797D"/>
    <w:rsid w:val="0071323C"/>
    <w:rsid w:val="00722347"/>
    <w:rsid w:val="007471D3"/>
    <w:rsid w:val="00750361"/>
    <w:rsid w:val="00762525"/>
    <w:rsid w:val="007648D8"/>
    <w:rsid w:val="00771120"/>
    <w:rsid w:val="00771386"/>
    <w:rsid w:val="00792DC7"/>
    <w:rsid w:val="00797AB1"/>
    <w:rsid w:val="007A79D4"/>
    <w:rsid w:val="007C021F"/>
    <w:rsid w:val="007C0564"/>
    <w:rsid w:val="007D0ABE"/>
    <w:rsid w:val="007E7E1A"/>
    <w:rsid w:val="007F15CE"/>
    <w:rsid w:val="00804595"/>
    <w:rsid w:val="008145DC"/>
    <w:rsid w:val="00814FF4"/>
    <w:rsid w:val="00815D1E"/>
    <w:rsid w:val="0082500C"/>
    <w:rsid w:val="00843AAF"/>
    <w:rsid w:val="008474ED"/>
    <w:rsid w:val="00862B31"/>
    <w:rsid w:val="008669FB"/>
    <w:rsid w:val="008A3D4D"/>
    <w:rsid w:val="008B6A2E"/>
    <w:rsid w:val="008C0E5A"/>
    <w:rsid w:val="008C1897"/>
    <w:rsid w:val="008D62D4"/>
    <w:rsid w:val="008D69AF"/>
    <w:rsid w:val="008E08AF"/>
    <w:rsid w:val="008E3D48"/>
    <w:rsid w:val="008F2594"/>
    <w:rsid w:val="00911F22"/>
    <w:rsid w:val="009161FF"/>
    <w:rsid w:val="00951142"/>
    <w:rsid w:val="00993114"/>
    <w:rsid w:val="00993404"/>
    <w:rsid w:val="009A7262"/>
    <w:rsid w:val="009B14D2"/>
    <w:rsid w:val="009B54F4"/>
    <w:rsid w:val="009B551E"/>
    <w:rsid w:val="009C1F04"/>
    <w:rsid w:val="009F5C65"/>
    <w:rsid w:val="009F70E6"/>
    <w:rsid w:val="00A15FF4"/>
    <w:rsid w:val="00A1712D"/>
    <w:rsid w:val="00A24377"/>
    <w:rsid w:val="00A24869"/>
    <w:rsid w:val="00A55845"/>
    <w:rsid w:val="00A563F4"/>
    <w:rsid w:val="00A56FF8"/>
    <w:rsid w:val="00A62565"/>
    <w:rsid w:val="00A64497"/>
    <w:rsid w:val="00A65FB0"/>
    <w:rsid w:val="00A8104C"/>
    <w:rsid w:val="00A852BC"/>
    <w:rsid w:val="00AA1BD0"/>
    <w:rsid w:val="00AB5AEE"/>
    <w:rsid w:val="00AC0491"/>
    <w:rsid w:val="00AC0652"/>
    <w:rsid w:val="00AD3F77"/>
    <w:rsid w:val="00AD4C85"/>
    <w:rsid w:val="00AD7138"/>
    <w:rsid w:val="00AD7B01"/>
    <w:rsid w:val="00AF78DE"/>
    <w:rsid w:val="00B05206"/>
    <w:rsid w:val="00B22E26"/>
    <w:rsid w:val="00B377C4"/>
    <w:rsid w:val="00B46F24"/>
    <w:rsid w:val="00B47634"/>
    <w:rsid w:val="00B60928"/>
    <w:rsid w:val="00B622F2"/>
    <w:rsid w:val="00B72696"/>
    <w:rsid w:val="00B93109"/>
    <w:rsid w:val="00B94226"/>
    <w:rsid w:val="00B942F0"/>
    <w:rsid w:val="00BB3D2E"/>
    <w:rsid w:val="00BC74C5"/>
    <w:rsid w:val="00BE2474"/>
    <w:rsid w:val="00BF28B4"/>
    <w:rsid w:val="00BF3535"/>
    <w:rsid w:val="00C16DD7"/>
    <w:rsid w:val="00C47791"/>
    <w:rsid w:val="00C86F84"/>
    <w:rsid w:val="00C9086D"/>
    <w:rsid w:val="00CB3E22"/>
    <w:rsid w:val="00CC7AAB"/>
    <w:rsid w:val="00CD54D3"/>
    <w:rsid w:val="00CE4114"/>
    <w:rsid w:val="00CE4479"/>
    <w:rsid w:val="00CE6473"/>
    <w:rsid w:val="00D15FD7"/>
    <w:rsid w:val="00D328A0"/>
    <w:rsid w:val="00D33EC4"/>
    <w:rsid w:val="00D5407A"/>
    <w:rsid w:val="00D81565"/>
    <w:rsid w:val="00D85B30"/>
    <w:rsid w:val="00D9300C"/>
    <w:rsid w:val="00DA071E"/>
    <w:rsid w:val="00DA0B87"/>
    <w:rsid w:val="00DA6AE2"/>
    <w:rsid w:val="00DA7729"/>
    <w:rsid w:val="00DE07DE"/>
    <w:rsid w:val="00DE228F"/>
    <w:rsid w:val="00DF68E4"/>
    <w:rsid w:val="00E03F44"/>
    <w:rsid w:val="00E14912"/>
    <w:rsid w:val="00E17581"/>
    <w:rsid w:val="00E20009"/>
    <w:rsid w:val="00E26A84"/>
    <w:rsid w:val="00E445B7"/>
    <w:rsid w:val="00E52E54"/>
    <w:rsid w:val="00E53385"/>
    <w:rsid w:val="00E81963"/>
    <w:rsid w:val="00E82717"/>
    <w:rsid w:val="00E82DCF"/>
    <w:rsid w:val="00E8311E"/>
    <w:rsid w:val="00E866BB"/>
    <w:rsid w:val="00EA591D"/>
    <w:rsid w:val="00EA6902"/>
    <w:rsid w:val="00EA77C5"/>
    <w:rsid w:val="00EC23EC"/>
    <w:rsid w:val="00EE3F08"/>
    <w:rsid w:val="00EF5859"/>
    <w:rsid w:val="00EF69D5"/>
    <w:rsid w:val="00F034A3"/>
    <w:rsid w:val="00F0594E"/>
    <w:rsid w:val="00F05B9C"/>
    <w:rsid w:val="00F1193E"/>
    <w:rsid w:val="00F1450C"/>
    <w:rsid w:val="00F34C23"/>
    <w:rsid w:val="00F36F8D"/>
    <w:rsid w:val="00F42807"/>
    <w:rsid w:val="00F54E21"/>
    <w:rsid w:val="00F57FA0"/>
    <w:rsid w:val="00F654F2"/>
    <w:rsid w:val="00F8065D"/>
    <w:rsid w:val="00F879E4"/>
    <w:rsid w:val="00F91974"/>
    <w:rsid w:val="00F93EAA"/>
    <w:rsid w:val="00FC3455"/>
    <w:rsid w:val="00FC39AC"/>
    <w:rsid w:val="00FC7435"/>
    <w:rsid w:val="00FD698E"/>
    <w:rsid w:val="00FE4D03"/>
    <w:rsid w:val="00FF5DF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SimSun"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A6902"/>
    <w:pPr>
      <w:spacing w:line="260" w:lineRule="atLeast"/>
      <w:jc w:val="both"/>
    </w:pPr>
    <w:rPr>
      <w:rFonts w:ascii="Palatino Linotype" w:hAnsi="Palatino Linotype"/>
      <w:noProof/>
      <w:color w:val="000000"/>
    </w:rPr>
  </w:style>
  <w:style w:type="paragraph" w:styleId="Heading1">
    <w:name w:val="heading 1"/>
    <w:basedOn w:val="Normal"/>
    <w:next w:val="Normal"/>
    <w:link w:val="Heading1Char"/>
    <w:autoRedefine/>
    <w:uiPriority w:val="9"/>
    <w:qFormat/>
    <w:rsid w:val="002F3962"/>
    <w:pPr>
      <w:keepNext/>
      <w:keepLines/>
      <w:spacing w:before="600" w:after="240" w:line="240" w:lineRule="auto"/>
      <w:outlineLvl w:val="0"/>
    </w:pPr>
    <w:rPr>
      <w:rFonts w:ascii="Calibri" w:eastAsiaTheme="majorEastAsia" w:hAnsi="Calibri" w:cstheme="majorBidi"/>
      <w:b/>
      <w:bCs/>
      <w:noProof w:val="0"/>
      <w:color w:val="auto"/>
      <w:sz w:val="32"/>
      <w:szCs w:val="28"/>
      <w:lang w:eastAsia="en-US"/>
    </w:rPr>
  </w:style>
  <w:style w:type="paragraph" w:styleId="Heading2">
    <w:name w:val="heading 2"/>
    <w:basedOn w:val="Heading1"/>
    <w:next w:val="Normal"/>
    <w:link w:val="Heading2Char"/>
    <w:autoRedefine/>
    <w:uiPriority w:val="9"/>
    <w:unhideWhenUsed/>
    <w:qFormat/>
    <w:rsid w:val="002F3962"/>
    <w:pPr>
      <w:spacing w:before="200" w:line="276" w:lineRule="auto"/>
      <w:outlineLvl w:val="1"/>
    </w:pPr>
    <w:rPr>
      <w:bCs w:val="0"/>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Normal"/>
    <w:qFormat/>
    <w:rsid w:val="00EA6902"/>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EA6902"/>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EA6902"/>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EA6902"/>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EA6902"/>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EA6902"/>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EA6902"/>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EA6902"/>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paragraph" w:styleId="Footer">
    <w:name w:val="footer"/>
    <w:basedOn w:val="Normal"/>
    <w:link w:val="FooterChar"/>
    <w:uiPriority w:val="99"/>
    <w:rsid w:val="00EA6902"/>
    <w:pPr>
      <w:tabs>
        <w:tab w:val="center" w:pos="4153"/>
        <w:tab w:val="right" w:pos="8306"/>
      </w:tabs>
      <w:snapToGrid w:val="0"/>
      <w:spacing w:line="240" w:lineRule="atLeast"/>
    </w:pPr>
    <w:rPr>
      <w:szCs w:val="18"/>
    </w:rPr>
  </w:style>
  <w:style w:type="character" w:customStyle="1" w:styleId="FooterChar">
    <w:name w:val="Footer Char"/>
    <w:link w:val="Footer"/>
    <w:uiPriority w:val="99"/>
    <w:rsid w:val="00EA6902"/>
    <w:rPr>
      <w:rFonts w:ascii="Palatino Linotype" w:hAnsi="Palatino Linotype"/>
      <w:noProof/>
      <w:color w:val="000000"/>
      <w:szCs w:val="18"/>
    </w:rPr>
  </w:style>
  <w:style w:type="paragraph" w:styleId="Header">
    <w:name w:val="header"/>
    <w:basedOn w:val="Normal"/>
    <w:link w:val="HeaderChar"/>
    <w:uiPriority w:val="99"/>
    <w:rsid w:val="00EA6902"/>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link w:val="Header"/>
    <w:uiPriority w:val="99"/>
    <w:rsid w:val="00EA6902"/>
    <w:rPr>
      <w:rFonts w:ascii="Palatino Linotype" w:hAnsi="Palatino Linotype"/>
      <w:noProof/>
      <w:color w:val="000000"/>
      <w:szCs w:val="18"/>
    </w:rPr>
  </w:style>
  <w:style w:type="paragraph" w:customStyle="1" w:styleId="MDPIheaderjournallogo">
    <w:name w:val="MDPI_header_journal_logo"/>
    <w:qFormat/>
    <w:rsid w:val="00EA6902"/>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EA6902"/>
    <w:pPr>
      <w:ind w:firstLine="0"/>
    </w:pPr>
  </w:style>
  <w:style w:type="paragraph" w:customStyle="1" w:styleId="MDPI31text">
    <w:name w:val="MDPI_3.1_text"/>
    <w:qFormat/>
    <w:rsid w:val="00E53385"/>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EA6902"/>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4textspacebefore">
    <w:name w:val="MDPI_3.4_text_space_before"/>
    <w:qFormat/>
    <w:rsid w:val="00EA6902"/>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EA6902"/>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EA6902"/>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5332CC"/>
    <w:pPr>
      <w:numPr>
        <w:numId w:val="25"/>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5332CC"/>
    <w:pPr>
      <w:numPr>
        <w:numId w:val="23"/>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EA6902"/>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EA6902"/>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EA6902"/>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B72696"/>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EA6902"/>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EA6902"/>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EA6902"/>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81theorem">
    <w:name w:val="MDPI_8.1_theorem"/>
    <w:qFormat/>
    <w:rsid w:val="00EA6902"/>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EA6902"/>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footerfirstpage">
    <w:name w:val="MDPI_footer_firstpage"/>
    <w:qFormat/>
    <w:rsid w:val="00EA6902"/>
    <w:pPr>
      <w:tabs>
        <w:tab w:val="right" w:pos="8845"/>
      </w:tabs>
      <w:spacing w:line="160" w:lineRule="exact"/>
    </w:pPr>
    <w:rPr>
      <w:rFonts w:ascii="Palatino Linotype" w:eastAsia="Times New Roman" w:hAnsi="Palatino Linotype"/>
      <w:color w:val="000000"/>
      <w:sz w:val="16"/>
      <w:lang w:eastAsia="de-DE"/>
    </w:rPr>
  </w:style>
  <w:style w:type="paragraph" w:customStyle="1" w:styleId="MDPI23heading3">
    <w:name w:val="MDPI_2.3_heading3"/>
    <w:qFormat/>
    <w:rsid w:val="00EA6902"/>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EA6902"/>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EA6902"/>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51540B"/>
    <w:pPr>
      <w:numPr>
        <w:numId w:val="26"/>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BalloonText">
    <w:name w:val="Balloon Text"/>
    <w:basedOn w:val="Normal"/>
    <w:link w:val="BalloonTextChar"/>
    <w:uiPriority w:val="99"/>
    <w:rsid w:val="00EA6902"/>
    <w:rPr>
      <w:rFonts w:cs="Tahoma"/>
      <w:szCs w:val="18"/>
    </w:rPr>
  </w:style>
  <w:style w:type="character" w:customStyle="1" w:styleId="BalloonTextChar">
    <w:name w:val="Balloon Text Char"/>
    <w:link w:val="BalloonText"/>
    <w:uiPriority w:val="99"/>
    <w:rsid w:val="00EA6902"/>
    <w:rPr>
      <w:rFonts w:ascii="Palatino Linotype" w:hAnsi="Palatino Linotype" w:cs="Tahoma"/>
      <w:noProof/>
      <w:color w:val="000000"/>
      <w:szCs w:val="18"/>
    </w:rPr>
  </w:style>
  <w:style w:type="character" w:styleId="LineNumber">
    <w:name w:val="line number"/>
    <w:uiPriority w:val="99"/>
    <w:rsid w:val="009B551E"/>
    <w:rPr>
      <w:rFonts w:ascii="Palatino Linotype" w:hAnsi="Palatino Linotype"/>
      <w:sz w:val="16"/>
    </w:rPr>
  </w:style>
  <w:style w:type="table" w:customStyle="1" w:styleId="MDPI41threelinetable">
    <w:name w:val="MDPI_4.1_three_line_table"/>
    <w:basedOn w:val="TableNormal"/>
    <w:uiPriority w:val="99"/>
    <w:rsid w:val="00EA6902"/>
    <w:pPr>
      <w:adjustRightInd w:val="0"/>
      <w:snapToGrid w:val="0"/>
      <w:jc w:val="center"/>
    </w:pPr>
    <w:rPr>
      <w:rFonts w:ascii="Palatino Linotype" w:hAnsi="Palatino Linotype"/>
      <w:color w:val="000000"/>
    </w:rPr>
    <w:tblPr>
      <w:jc w:val="center"/>
      <w:tblInd w:w="0" w:type="dxa"/>
      <w:tblBorders>
        <w:top w:val="single" w:sz="8" w:space="0" w:color="auto"/>
        <w:bottom w:val="single" w:sz="8" w:space="0" w:color="auto"/>
      </w:tblBorders>
      <w:tblCellMar>
        <w:top w:w="0" w:type="dxa"/>
        <w:left w:w="108" w:type="dxa"/>
        <w:bottom w:w="0" w:type="dxa"/>
        <w:right w:w="108" w:type="dxa"/>
      </w:tblCellMar>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EA6902"/>
    <w:rPr>
      <w:color w:val="0000FF"/>
      <w:u w:val="single"/>
    </w:rPr>
  </w:style>
  <w:style w:type="character" w:customStyle="1" w:styleId="UnresolvedMention">
    <w:name w:val="Unresolved Mention"/>
    <w:uiPriority w:val="99"/>
    <w:semiHidden/>
    <w:unhideWhenUsed/>
    <w:rsid w:val="00A65FB0"/>
    <w:rPr>
      <w:color w:val="605E5C"/>
      <w:shd w:val="clear" w:color="auto" w:fill="E1DFDD"/>
    </w:rPr>
  </w:style>
  <w:style w:type="table" w:styleId="TableGrid">
    <w:name w:val="Table Grid"/>
    <w:basedOn w:val="TableNormal"/>
    <w:uiPriority w:val="59"/>
    <w:rsid w:val="00EA6902"/>
    <w:pPr>
      <w:spacing w:line="260" w:lineRule="atLeast"/>
      <w:jc w:val="both"/>
    </w:pPr>
    <w:rPr>
      <w:rFonts w:ascii="Palatino Linotype" w:hAnsi="Palatino Linotype"/>
      <w:color w:val="00000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4">
    <w:name w:val="Plain Table 4"/>
    <w:basedOn w:val="TableNormal"/>
    <w:uiPriority w:val="44"/>
    <w:rsid w:val="00506BC0"/>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1Citation">
    <w:name w:val="MDPI_6.1_Citation"/>
    <w:qFormat/>
    <w:rsid w:val="00EA6902"/>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EA6902"/>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EA6902"/>
    <w:pPr>
      <w:adjustRightInd w:val="0"/>
      <w:snapToGrid w:val="0"/>
      <w:spacing w:before="240" w:line="228" w:lineRule="auto"/>
      <w:jc w:val="both"/>
    </w:pPr>
    <w:rPr>
      <w:rFonts w:ascii="Palatino Linotype" w:hAnsi="Palatino Linotype"/>
      <w:snapToGrid w:val="0"/>
      <w:color w:val="000000"/>
      <w:sz w:val="18"/>
      <w:lang w:eastAsia="en-US" w:bidi="en-US"/>
    </w:rPr>
  </w:style>
  <w:style w:type="paragraph" w:customStyle="1" w:styleId="MDPI15academiceditor">
    <w:name w:val="MDPI_1.5_academic_editor"/>
    <w:qFormat/>
    <w:rsid w:val="00C86F84"/>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EA6902"/>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EA6902"/>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EA6902"/>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D5407A"/>
    <w:pPr>
      <w:adjustRightInd w:val="0"/>
      <w:snapToGrid w:val="0"/>
      <w:spacing w:before="60" w:line="240" w:lineRule="atLeast"/>
      <w:ind w:right="113"/>
      <w:jc w:val="both"/>
    </w:pPr>
    <w:rPr>
      <w:rFonts w:ascii="Palatino Linotype" w:eastAsia="Times New Roman" w:hAnsi="Palatino Linotype"/>
      <w:noProof/>
      <w:snapToGrid w:val="0"/>
      <w:color w:val="000000"/>
      <w:sz w:val="14"/>
      <w:lang w:val="en-GB" w:eastAsia="en-GB"/>
    </w:rPr>
  </w:style>
  <w:style w:type="paragraph" w:customStyle="1" w:styleId="MDPI73CopyrightImage">
    <w:name w:val="MDPI_7.3_CopyrightImage"/>
    <w:rsid w:val="00EA6902"/>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EA6902"/>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EA6902"/>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header">
    <w:name w:val="MDPI_header"/>
    <w:qFormat/>
    <w:rsid w:val="00EA6902"/>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EA6902"/>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EA6902"/>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eNormal"/>
    <w:uiPriority w:val="99"/>
    <w:rsid w:val="00EA6902"/>
    <w:rPr>
      <w:rFonts w:ascii="Palatino Linotype" w:hAnsi="Palatino Linotype"/>
      <w:color w:val="000000"/>
      <w:lang w:val="en-CA" w:eastAsia="en-US"/>
    </w:rPr>
    <w:tblPr>
      <w:tblInd w:w="0" w:type="dxa"/>
      <w:tblCellMar>
        <w:top w:w="0" w:type="dxa"/>
        <w:left w:w="0" w:type="dxa"/>
        <w:bottom w:w="0" w:type="dxa"/>
        <w:right w:w="0" w:type="dxa"/>
      </w:tblCellMar>
    </w:tblPr>
  </w:style>
  <w:style w:type="paragraph" w:customStyle="1" w:styleId="MDPItext">
    <w:name w:val="MDPI_text"/>
    <w:qFormat/>
    <w:rsid w:val="00EA6902"/>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EA6902"/>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EA6902"/>
  </w:style>
  <w:style w:type="paragraph" w:styleId="Bibliography">
    <w:name w:val="Bibliography"/>
    <w:basedOn w:val="Normal"/>
    <w:next w:val="Normal"/>
    <w:uiPriority w:val="37"/>
    <w:semiHidden/>
    <w:unhideWhenUsed/>
    <w:rsid w:val="00EA6902"/>
  </w:style>
  <w:style w:type="paragraph" w:styleId="BodyText">
    <w:name w:val="Body Text"/>
    <w:link w:val="BodyTextChar"/>
    <w:rsid w:val="00EA6902"/>
    <w:pPr>
      <w:spacing w:after="120" w:line="340" w:lineRule="atLeast"/>
      <w:jc w:val="both"/>
    </w:pPr>
    <w:rPr>
      <w:rFonts w:ascii="Palatino Linotype" w:hAnsi="Palatino Linotype"/>
      <w:color w:val="000000"/>
      <w:sz w:val="24"/>
      <w:lang w:eastAsia="de-DE"/>
    </w:rPr>
  </w:style>
  <w:style w:type="character" w:customStyle="1" w:styleId="BodyTextChar">
    <w:name w:val="Body Text Char"/>
    <w:link w:val="BodyText"/>
    <w:rsid w:val="00EA6902"/>
    <w:rPr>
      <w:rFonts w:ascii="Palatino Linotype" w:hAnsi="Palatino Linotype"/>
      <w:color w:val="000000"/>
      <w:sz w:val="24"/>
      <w:lang w:eastAsia="de-DE"/>
    </w:rPr>
  </w:style>
  <w:style w:type="character" w:styleId="CommentReference">
    <w:name w:val="annotation reference"/>
    <w:uiPriority w:val="99"/>
    <w:rsid w:val="00EA6902"/>
    <w:rPr>
      <w:sz w:val="21"/>
      <w:szCs w:val="21"/>
    </w:rPr>
  </w:style>
  <w:style w:type="paragraph" w:styleId="CommentText">
    <w:name w:val="annotation text"/>
    <w:basedOn w:val="Normal"/>
    <w:link w:val="CommentTextChar"/>
    <w:uiPriority w:val="99"/>
    <w:rsid w:val="00EA6902"/>
  </w:style>
  <w:style w:type="character" w:customStyle="1" w:styleId="CommentTextChar">
    <w:name w:val="Comment Text Char"/>
    <w:link w:val="CommentText"/>
    <w:uiPriority w:val="99"/>
    <w:rsid w:val="00EA6902"/>
    <w:rPr>
      <w:rFonts w:ascii="Palatino Linotype" w:hAnsi="Palatino Linotype"/>
      <w:noProof/>
      <w:color w:val="000000"/>
    </w:rPr>
  </w:style>
  <w:style w:type="paragraph" w:styleId="CommentSubject">
    <w:name w:val="annotation subject"/>
    <w:basedOn w:val="CommentText"/>
    <w:next w:val="CommentText"/>
    <w:link w:val="CommentSubjectChar"/>
    <w:rsid w:val="00EA6902"/>
    <w:rPr>
      <w:b/>
      <w:bCs/>
    </w:rPr>
  </w:style>
  <w:style w:type="character" w:customStyle="1" w:styleId="CommentSubjectChar">
    <w:name w:val="Comment Subject Char"/>
    <w:link w:val="CommentSubject"/>
    <w:rsid w:val="00EA6902"/>
    <w:rPr>
      <w:rFonts w:ascii="Palatino Linotype" w:hAnsi="Palatino Linotype"/>
      <w:b/>
      <w:bCs/>
      <w:noProof/>
      <w:color w:val="000000"/>
    </w:rPr>
  </w:style>
  <w:style w:type="character" w:styleId="EndnoteReference">
    <w:name w:val="endnote reference"/>
    <w:rsid w:val="00EA6902"/>
    <w:rPr>
      <w:vertAlign w:val="superscript"/>
    </w:rPr>
  </w:style>
  <w:style w:type="paragraph" w:styleId="EndnoteText">
    <w:name w:val="endnote text"/>
    <w:basedOn w:val="Normal"/>
    <w:link w:val="EndnoteTextChar"/>
    <w:semiHidden/>
    <w:unhideWhenUsed/>
    <w:rsid w:val="00EA6902"/>
    <w:pPr>
      <w:spacing w:line="240" w:lineRule="auto"/>
    </w:pPr>
  </w:style>
  <w:style w:type="character" w:customStyle="1" w:styleId="EndnoteTextChar">
    <w:name w:val="Endnote Text Char"/>
    <w:link w:val="EndnoteText"/>
    <w:semiHidden/>
    <w:rsid w:val="00EA6902"/>
    <w:rPr>
      <w:rFonts w:ascii="Palatino Linotype" w:hAnsi="Palatino Linotype"/>
      <w:noProof/>
      <w:color w:val="000000"/>
    </w:rPr>
  </w:style>
  <w:style w:type="character" w:styleId="FollowedHyperlink">
    <w:name w:val="FollowedHyperlink"/>
    <w:rsid w:val="00EA6902"/>
    <w:rPr>
      <w:color w:val="954F72"/>
      <w:u w:val="single"/>
    </w:rPr>
  </w:style>
  <w:style w:type="paragraph" w:styleId="FootnoteText">
    <w:name w:val="footnote text"/>
    <w:basedOn w:val="Normal"/>
    <w:link w:val="FootnoteTextChar"/>
    <w:semiHidden/>
    <w:unhideWhenUsed/>
    <w:rsid w:val="00EA6902"/>
    <w:pPr>
      <w:spacing w:line="240" w:lineRule="auto"/>
    </w:pPr>
  </w:style>
  <w:style w:type="character" w:customStyle="1" w:styleId="FootnoteTextChar">
    <w:name w:val="Footnote Text Char"/>
    <w:link w:val="FootnoteText"/>
    <w:semiHidden/>
    <w:rsid w:val="00EA6902"/>
    <w:rPr>
      <w:rFonts w:ascii="Palatino Linotype" w:hAnsi="Palatino Linotype"/>
      <w:noProof/>
      <w:color w:val="000000"/>
    </w:rPr>
  </w:style>
  <w:style w:type="paragraph" w:styleId="NormalWeb">
    <w:name w:val="Normal (Web)"/>
    <w:basedOn w:val="Normal"/>
    <w:uiPriority w:val="99"/>
    <w:rsid w:val="00EA6902"/>
    <w:rPr>
      <w:szCs w:val="24"/>
    </w:rPr>
  </w:style>
  <w:style w:type="paragraph" w:customStyle="1" w:styleId="MsoFootnoteText0">
    <w:name w:val="MsoFootnoteText"/>
    <w:basedOn w:val="NormalWeb"/>
    <w:qFormat/>
    <w:rsid w:val="00EA6902"/>
    <w:rPr>
      <w:rFonts w:ascii="Times New Roman" w:hAnsi="Times New Roman"/>
    </w:rPr>
  </w:style>
  <w:style w:type="character" w:styleId="PageNumber">
    <w:name w:val="page number"/>
    <w:rsid w:val="00EA6902"/>
  </w:style>
  <w:style w:type="character" w:styleId="PlaceholderText">
    <w:name w:val="Placeholder Text"/>
    <w:uiPriority w:val="99"/>
    <w:semiHidden/>
    <w:rsid w:val="00EA6902"/>
    <w:rPr>
      <w:color w:val="808080"/>
    </w:rPr>
  </w:style>
  <w:style w:type="paragraph" w:customStyle="1" w:styleId="MDPI71FootNotes">
    <w:name w:val="MDPI_7.1_FootNotes"/>
    <w:qFormat/>
    <w:rsid w:val="00211F69"/>
    <w:pPr>
      <w:numPr>
        <w:numId w:val="24"/>
      </w:numPr>
      <w:adjustRightInd w:val="0"/>
      <w:snapToGrid w:val="0"/>
      <w:spacing w:line="228" w:lineRule="auto"/>
    </w:pPr>
    <w:rPr>
      <w:rFonts w:ascii="Palatino Linotype" w:eastAsiaTheme="minorEastAsia" w:hAnsi="Palatino Linotype"/>
      <w:noProof/>
      <w:color w:val="000000"/>
      <w:sz w:val="18"/>
    </w:rPr>
  </w:style>
  <w:style w:type="character" w:customStyle="1" w:styleId="Heading1Char">
    <w:name w:val="Heading 1 Char"/>
    <w:basedOn w:val="DefaultParagraphFont"/>
    <w:link w:val="Heading1"/>
    <w:uiPriority w:val="9"/>
    <w:rsid w:val="002F3962"/>
    <w:rPr>
      <w:rFonts w:eastAsiaTheme="majorEastAsia" w:cstheme="majorBidi"/>
      <w:b/>
      <w:bCs/>
      <w:sz w:val="32"/>
      <w:szCs w:val="28"/>
      <w:lang w:eastAsia="en-US"/>
    </w:rPr>
  </w:style>
  <w:style w:type="character" w:customStyle="1" w:styleId="Heading2Char">
    <w:name w:val="Heading 2 Char"/>
    <w:basedOn w:val="DefaultParagraphFont"/>
    <w:link w:val="Heading2"/>
    <w:uiPriority w:val="9"/>
    <w:rsid w:val="002F3962"/>
    <w:rPr>
      <w:rFonts w:eastAsiaTheme="majorEastAsia" w:cstheme="majorBidi"/>
      <w:b/>
      <w:sz w:val="24"/>
      <w:szCs w:val="26"/>
      <w:lang w:eastAsia="en-US"/>
    </w:rPr>
  </w:style>
  <w:style w:type="character" w:styleId="FootnoteReference">
    <w:name w:val="footnote reference"/>
    <w:basedOn w:val="DefaultParagraphFont"/>
    <w:uiPriority w:val="99"/>
    <w:semiHidden/>
    <w:unhideWhenUsed/>
    <w:rsid w:val="006372C3"/>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SimSun"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A6902"/>
    <w:pPr>
      <w:spacing w:line="260" w:lineRule="atLeast"/>
      <w:jc w:val="both"/>
    </w:pPr>
    <w:rPr>
      <w:rFonts w:ascii="Palatino Linotype" w:hAnsi="Palatino Linotype"/>
      <w:noProof/>
      <w:color w:val="000000"/>
    </w:rPr>
  </w:style>
  <w:style w:type="paragraph" w:styleId="Heading1">
    <w:name w:val="heading 1"/>
    <w:basedOn w:val="Normal"/>
    <w:next w:val="Normal"/>
    <w:link w:val="Heading1Char"/>
    <w:autoRedefine/>
    <w:uiPriority w:val="9"/>
    <w:qFormat/>
    <w:rsid w:val="002F3962"/>
    <w:pPr>
      <w:keepNext/>
      <w:keepLines/>
      <w:spacing w:before="600" w:after="240" w:line="240" w:lineRule="auto"/>
      <w:outlineLvl w:val="0"/>
    </w:pPr>
    <w:rPr>
      <w:rFonts w:ascii="Calibri" w:eastAsiaTheme="majorEastAsia" w:hAnsi="Calibri" w:cstheme="majorBidi"/>
      <w:b/>
      <w:bCs/>
      <w:noProof w:val="0"/>
      <w:color w:val="auto"/>
      <w:sz w:val="32"/>
      <w:szCs w:val="28"/>
      <w:lang w:eastAsia="en-US"/>
    </w:rPr>
  </w:style>
  <w:style w:type="paragraph" w:styleId="Heading2">
    <w:name w:val="heading 2"/>
    <w:basedOn w:val="Heading1"/>
    <w:next w:val="Normal"/>
    <w:link w:val="Heading2Char"/>
    <w:autoRedefine/>
    <w:uiPriority w:val="9"/>
    <w:unhideWhenUsed/>
    <w:qFormat/>
    <w:rsid w:val="002F3962"/>
    <w:pPr>
      <w:spacing w:before="200" w:line="276" w:lineRule="auto"/>
      <w:outlineLvl w:val="1"/>
    </w:pPr>
    <w:rPr>
      <w:bCs w:val="0"/>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Normal"/>
    <w:qFormat/>
    <w:rsid w:val="00EA6902"/>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EA6902"/>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EA6902"/>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EA6902"/>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EA6902"/>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EA6902"/>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EA6902"/>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EA6902"/>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paragraph" w:styleId="Footer">
    <w:name w:val="footer"/>
    <w:basedOn w:val="Normal"/>
    <w:link w:val="FooterChar"/>
    <w:uiPriority w:val="99"/>
    <w:rsid w:val="00EA6902"/>
    <w:pPr>
      <w:tabs>
        <w:tab w:val="center" w:pos="4153"/>
        <w:tab w:val="right" w:pos="8306"/>
      </w:tabs>
      <w:snapToGrid w:val="0"/>
      <w:spacing w:line="240" w:lineRule="atLeast"/>
    </w:pPr>
    <w:rPr>
      <w:szCs w:val="18"/>
    </w:rPr>
  </w:style>
  <w:style w:type="character" w:customStyle="1" w:styleId="FooterChar">
    <w:name w:val="Footer Char"/>
    <w:link w:val="Footer"/>
    <w:uiPriority w:val="99"/>
    <w:rsid w:val="00EA6902"/>
    <w:rPr>
      <w:rFonts w:ascii="Palatino Linotype" w:hAnsi="Palatino Linotype"/>
      <w:noProof/>
      <w:color w:val="000000"/>
      <w:szCs w:val="18"/>
    </w:rPr>
  </w:style>
  <w:style w:type="paragraph" w:styleId="Header">
    <w:name w:val="header"/>
    <w:basedOn w:val="Normal"/>
    <w:link w:val="HeaderChar"/>
    <w:uiPriority w:val="99"/>
    <w:rsid w:val="00EA6902"/>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link w:val="Header"/>
    <w:uiPriority w:val="99"/>
    <w:rsid w:val="00EA6902"/>
    <w:rPr>
      <w:rFonts w:ascii="Palatino Linotype" w:hAnsi="Palatino Linotype"/>
      <w:noProof/>
      <w:color w:val="000000"/>
      <w:szCs w:val="18"/>
    </w:rPr>
  </w:style>
  <w:style w:type="paragraph" w:customStyle="1" w:styleId="MDPIheaderjournallogo">
    <w:name w:val="MDPI_header_journal_logo"/>
    <w:qFormat/>
    <w:rsid w:val="00EA6902"/>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EA6902"/>
    <w:pPr>
      <w:ind w:firstLine="0"/>
    </w:pPr>
  </w:style>
  <w:style w:type="paragraph" w:customStyle="1" w:styleId="MDPI31text">
    <w:name w:val="MDPI_3.1_text"/>
    <w:qFormat/>
    <w:rsid w:val="00E53385"/>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EA6902"/>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4textspacebefore">
    <w:name w:val="MDPI_3.4_text_space_before"/>
    <w:qFormat/>
    <w:rsid w:val="00EA6902"/>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EA6902"/>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EA6902"/>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5332CC"/>
    <w:pPr>
      <w:numPr>
        <w:numId w:val="25"/>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5332CC"/>
    <w:pPr>
      <w:numPr>
        <w:numId w:val="23"/>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EA6902"/>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EA6902"/>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EA6902"/>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B72696"/>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EA6902"/>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EA6902"/>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EA6902"/>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81theorem">
    <w:name w:val="MDPI_8.1_theorem"/>
    <w:qFormat/>
    <w:rsid w:val="00EA6902"/>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EA6902"/>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footerfirstpage">
    <w:name w:val="MDPI_footer_firstpage"/>
    <w:qFormat/>
    <w:rsid w:val="00EA6902"/>
    <w:pPr>
      <w:tabs>
        <w:tab w:val="right" w:pos="8845"/>
      </w:tabs>
      <w:spacing w:line="160" w:lineRule="exact"/>
    </w:pPr>
    <w:rPr>
      <w:rFonts w:ascii="Palatino Linotype" w:eastAsia="Times New Roman" w:hAnsi="Palatino Linotype"/>
      <w:color w:val="000000"/>
      <w:sz w:val="16"/>
      <w:lang w:eastAsia="de-DE"/>
    </w:rPr>
  </w:style>
  <w:style w:type="paragraph" w:customStyle="1" w:styleId="MDPI23heading3">
    <w:name w:val="MDPI_2.3_heading3"/>
    <w:qFormat/>
    <w:rsid w:val="00EA6902"/>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EA6902"/>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EA6902"/>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51540B"/>
    <w:pPr>
      <w:numPr>
        <w:numId w:val="26"/>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BalloonText">
    <w:name w:val="Balloon Text"/>
    <w:basedOn w:val="Normal"/>
    <w:link w:val="BalloonTextChar"/>
    <w:uiPriority w:val="99"/>
    <w:rsid w:val="00EA6902"/>
    <w:rPr>
      <w:rFonts w:cs="Tahoma"/>
      <w:szCs w:val="18"/>
    </w:rPr>
  </w:style>
  <w:style w:type="character" w:customStyle="1" w:styleId="BalloonTextChar">
    <w:name w:val="Balloon Text Char"/>
    <w:link w:val="BalloonText"/>
    <w:uiPriority w:val="99"/>
    <w:rsid w:val="00EA6902"/>
    <w:rPr>
      <w:rFonts w:ascii="Palatino Linotype" w:hAnsi="Palatino Linotype" w:cs="Tahoma"/>
      <w:noProof/>
      <w:color w:val="000000"/>
      <w:szCs w:val="18"/>
    </w:rPr>
  </w:style>
  <w:style w:type="character" w:styleId="LineNumber">
    <w:name w:val="line number"/>
    <w:uiPriority w:val="99"/>
    <w:rsid w:val="009B551E"/>
    <w:rPr>
      <w:rFonts w:ascii="Palatino Linotype" w:hAnsi="Palatino Linotype"/>
      <w:sz w:val="16"/>
    </w:rPr>
  </w:style>
  <w:style w:type="table" w:customStyle="1" w:styleId="MDPI41threelinetable">
    <w:name w:val="MDPI_4.1_three_line_table"/>
    <w:basedOn w:val="TableNormal"/>
    <w:uiPriority w:val="99"/>
    <w:rsid w:val="00EA6902"/>
    <w:pPr>
      <w:adjustRightInd w:val="0"/>
      <w:snapToGrid w:val="0"/>
      <w:jc w:val="center"/>
    </w:pPr>
    <w:rPr>
      <w:rFonts w:ascii="Palatino Linotype" w:hAnsi="Palatino Linotype"/>
      <w:color w:val="000000"/>
    </w:rPr>
    <w:tblPr>
      <w:jc w:val="center"/>
      <w:tblInd w:w="0" w:type="dxa"/>
      <w:tblBorders>
        <w:top w:val="single" w:sz="8" w:space="0" w:color="auto"/>
        <w:bottom w:val="single" w:sz="8" w:space="0" w:color="auto"/>
      </w:tblBorders>
      <w:tblCellMar>
        <w:top w:w="0" w:type="dxa"/>
        <w:left w:w="108" w:type="dxa"/>
        <w:bottom w:w="0" w:type="dxa"/>
        <w:right w:w="108" w:type="dxa"/>
      </w:tblCellMar>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EA6902"/>
    <w:rPr>
      <w:color w:val="0000FF"/>
      <w:u w:val="single"/>
    </w:rPr>
  </w:style>
  <w:style w:type="character" w:customStyle="1" w:styleId="UnresolvedMention">
    <w:name w:val="Unresolved Mention"/>
    <w:uiPriority w:val="99"/>
    <w:semiHidden/>
    <w:unhideWhenUsed/>
    <w:rsid w:val="00A65FB0"/>
    <w:rPr>
      <w:color w:val="605E5C"/>
      <w:shd w:val="clear" w:color="auto" w:fill="E1DFDD"/>
    </w:rPr>
  </w:style>
  <w:style w:type="table" w:styleId="TableGrid">
    <w:name w:val="Table Grid"/>
    <w:basedOn w:val="TableNormal"/>
    <w:uiPriority w:val="59"/>
    <w:rsid w:val="00EA6902"/>
    <w:pPr>
      <w:spacing w:line="260" w:lineRule="atLeast"/>
      <w:jc w:val="both"/>
    </w:pPr>
    <w:rPr>
      <w:rFonts w:ascii="Palatino Linotype" w:hAnsi="Palatino Linotype"/>
      <w:color w:val="00000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4">
    <w:name w:val="Plain Table 4"/>
    <w:basedOn w:val="TableNormal"/>
    <w:uiPriority w:val="44"/>
    <w:rsid w:val="00506BC0"/>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1Citation">
    <w:name w:val="MDPI_6.1_Citation"/>
    <w:qFormat/>
    <w:rsid w:val="00EA6902"/>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EA6902"/>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EA6902"/>
    <w:pPr>
      <w:adjustRightInd w:val="0"/>
      <w:snapToGrid w:val="0"/>
      <w:spacing w:before="240" w:line="228" w:lineRule="auto"/>
      <w:jc w:val="both"/>
    </w:pPr>
    <w:rPr>
      <w:rFonts w:ascii="Palatino Linotype" w:hAnsi="Palatino Linotype"/>
      <w:snapToGrid w:val="0"/>
      <w:color w:val="000000"/>
      <w:sz w:val="18"/>
      <w:lang w:eastAsia="en-US" w:bidi="en-US"/>
    </w:rPr>
  </w:style>
  <w:style w:type="paragraph" w:customStyle="1" w:styleId="MDPI15academiceditor">
    <w:name w:val="MDPI_1.5_academic_editor"/>
    <w:qFormat/>
    <w:rsid w:val="00C86F84"/>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EA6902"/>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EA6902"/>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EA6902"/>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D5407A"/>
    <w:pPr>
      <w:adjustRightInd w:val="0"/>
      <w:snapToGrid w:val="0"/>
      <w:spacing w:before="60" w:line="240" w:lineRule="atLeast"/>
      <w:ind w:right="113"/>
      <w:jc w:val="both"/>
    </w:pPr>
    <w:rPr>
      <w:rFonts w:ascii="Palatino Linotype" w:eastAsia="Times New Roman" w:hAnsi="Palatino Linotype"/>
      <w:noProof/>
      <w:snapToGrid w:val="0"/>
      <w:color w:val="000000"/>
      <w:sz w:val="14"/>
      <w:lang w:val="en-GB" w:eastAsia="en-GB"/>
    </w:rPr>
  </w:style>
  <w:style w:type="paragraph" w:customStyle="1" w:styleId="MDPI73CopyrightImage">
    <w:name w:val="MDPI_7.3_CopyrightImage"/>
    <w:rsid w:val="00EA6902"/>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EA6902"/>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EA6902"/>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header">
    <w:name w:val="MDPI_header"/>
    <w:qFormat/>
    <w:rsid w:val="00EA6902"/>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EA6902"/>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EA6902"/>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eNormal"/>
    <w:uiPriority w:val="99"/>
    <w:rsid w:val="00EA6902"/>
    <w:rPr>
      <w:rFonts w:ascii="Palatino Linotype" w:hAnsi="Palatino Linotype"/>
      <w:color w:val="000000"/>
      <w:lang w:val="en-CA" w:eastAsia="en-US"/>
    </w:rPr>
    <w:tblPr>
      <w:tblInd w:w="0" w:type="dxa"/>
      <w:tblCellMar>
        <w:top w:w="0" w:type="dxa"/>
        <w:left w:w="0" w:type="dxa"/>
        <w:bottom w:w="0" w:type="dxa"/>
        <w:right w:w="0" w:type="dxa"/>
      </w:tblCellMar>
    </w:tblPr>
  </w:style>
  <w:style w:type="paragraph" w:customStyle="1" w:styleId="MDPItext">
    <w:name w:val="MDPI_text"/>
    <w:qFormat/>
    <w:rsid w:val="00EA6902"/>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EA6902"/>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EA6902"/>
  </w:style>
  <w:style w:type="paragraph" w:styleId="Bibliography">
    <w:name w:val="Bibliography"/>
    <w:basedOn w:val="Normal"/>
    <w:next w:val="Normal"/>
    <w:uiPriority w:val="37"/>
    <w:semiHidden/>
    <w:unhideWhenUsed/>
    <w:rsid w:val="00EA6902"/>
  </w:style>
  <w:style w:type="paragraph" w:styleId="BodyText">
    <w:name w:val="Body Text"/>
    <w:link w:val="BodyTextChar"/>
    <w:rsid w:val="00EA6902"/>
    <w:pPr>
      <w:spacing w:after="120" w:line="340" w:lineRule="atLeast"/>
      <w:jc w:val="both"/>
    </w:pPr>
    <w:rPr>
      <w:rFonts w:ascii="Palatino Linotype" w:hAnsi="Palatino Linotype"/>
      <w:color w:val="000000"/>
      <w:sz w:val="24"/>
      <w:lang w:eastAsia="de-DE"/>
    </w:rPr>
  </w:style>
  <w:style w:type="character" w:customStyle="1" w:styleId="BodyTextChar">
    <w:name w:val="Body Text Char"/>
    <w:link w:val="BodyText"/>
    <w:rsid w:val="00EA6902"/>
    <w:rPr>
      <w:rFonts w:ascii="Palatino Linotype" w:hAnsi="Palatino Linotype"/>
      <w:color w:val="000000"/>
      <w:sz w:val="24"/>
      <w:lang w:eastAsia="de-DE"/>
    </w:rPr>
  </w:style>
  <w:style w:type="character" w:styleId="CommentReference">
    <w:name w:val="annotation reference"/>
    <w:uiPriority w:val="99"/>
    <w:rsid w:val="00EA6902"/>
    <w:rPr>
      <w:sz w:val="21"/>
      <w:szCs w:val="21"/>
    </w:rPr>
  </w:style>
  <w:style w:type="paragraph" w:styleId="CommentText">
    <w:name w:val="annotation text"/>
    <w:basedOn w:val="Normal"/>
    <w:link w:val="CommentTextChar"/>
    <w:uiPriority w:val="99"/>
    <w:rsid w:val="00EA6902"/>
  </w:style>
  <w:style w:type="character" w:customStyle="1" w:styleId="CommentTextChar">
    <w:name w:val="Comment Text Char"/>
    <w:link w:val="CommentText"/>
    <w:uiPriority w:val="99"/>
    <w:rsid w:val="00EA6902"/>
    <w:rPr>
      <w:rFonts w:ascii="Palatino Linotype" w:hAnsi="Palatino Linotype"/>
      <w:noProof/>
      <w:color w:val="000000"/>
    </w:rPr>
  </w:style>
  <w:style w:type="paragraph" w:styleId="CommentSubject">
    <w:name w:val="annotation subject"/>
    <w:basedOn w:val="CommentText"/>
    <w:next w:val="CommentText"/>
    <w:link w:val="CommentSubjectChar"/>
    <w:rsid w:val="00EA6902"/>
    <w:rPr>
      <w:b/>
      <w:bCs/>
    </w:rPr>
  </w:style>
  <w:style w:type="character" w:customStyle="1" w:styleId="CommentSubjectChar">
    <w:name w:val="Comment Subject Char"/>
    <w:link w:val="CommentSubject"/>
    <w:rsid w:val="00EA6902"/>
    <w:rPr>
      <w:rFonts w:ascii="Palatino Linotype" w:hAnsi="Palatino Linotype"/>
      <w:b/>
      <w:bCs/>
      <w:noProof/>
      <w:color w:val="000000"/>
    </w:rPr>
  </w:style>
  <w:style w:type="character" w:styleId="EndnoteReference">
    <w:name w:val="endnote reference"/>
    <w:rsid w:val="00EA6902"/>
    <w:rPr>
      <w:vertAlign w:val="superscript"/>
    </w:rPr>
  </w:style>
  <w:style w:type="paragraph" w:styleId="EndnoteText">
    <w:name w:val="endnote text"/>
    <w:basedOn w:val="Normal"/>
    <w:link w:val="EndnoteTextChar"/>
    <w:semiHidden/>
    <w:unhideWhenUsed/>
    <w:rsid w:val="00EA6902"/>
    <w:pPr>
      <w:spacing w:line="240" w:lineRule="auto"/>
    </w:pPr>
  </w:style>
  <w:style w:type="character" w:customStyle="1" w:styleId="EndnoteTextChar">
    <w:name w:val="Endnote Text Char"/>
    <w:link w:val="EndnoteText"/>
    <w:semiHidden/>
    <w:rsid w:val="00EA6902"/>
    <w:rPr>
      <w:rFonts w:ascii="Palatino Linotype" w:hAnsi="Palatino Linotype"/>
      <w:noProof/>
      <w:color w:val="000000"/>
    </w:rPr>
  </w:style>
  <w:style w:type="character" w:styleId="FollowedHyperlink">
    <w:name w:val="FollowedHyperlink"/>
    <w:rsid w:val="00EA6902"/>
    <w:rPr>
      <w:color w:val="954F72"/>
      <w:u w:val="single"/>
    </w:rPr>
  </w:style>
  <w:style w:type="paragraph" w:styleId="FootnoteText">
    <w:name w:val="footnote text"/>
    <w:basedOn w:val="Normal"/>
    <w:link w:val="FootnoteTextChar"/>
    <w:semiHidden/>
    <w:unhideWhenUsed/>
    <w:rsid w:val="00EA6902"/>
    <w:pPr>
      <w:spacing w:line="240" w:lineRule="auto"/>
    </w:pPr>
  </w:style>
  <w:style w:type="character" w:customStyle="1" w:styleId="FootnoteTextChar">
    <w:name w:val="Footnote Text Char"/>
    <w:link w:val="FootnoteText"/>
    <w:semiHidden/>
    <w:rsid w:val="00EA6902"/>
    <w:rPr>
      <w:rFonts w:ascii="Palatino Linotype" w:hAnsi="Palatino Linotype"/>
      <w:noProof/>
      <w:color w:val="000000"/>
    </w:rPr>
  </w:style>
  <w:style w:type="paragraph" w:styleId="NormalWeb">
    <w:name w:val="Normal (Web)"/>
    <w:basedOn w:val="Normal"/>
    <w:uiPriority w:val="99"/>
    <w:rsid w:val="00EA6902"/>
    <w:rPr>
      <w:szCs w:val="24"/>
    </w:rPr>
  </w:style>
  <w:style w:type="paragraph" w:customStyle="1" w:styleId="MsoFootnoteText0">
    <w:name w:val="MsoFootnoteText"/>
    <w:basedOn w:val="NormalWeb"/>
    <w:qFormat/>
    <w:rsid w:val="00EA6902"/>
    <w:rPr>
      <w:rFonts w:ascii="Times New Roman" w:hAnsi="Times New Roman"/>
    </w:rPr>
  </w:style>
  <w:style w:type="character" w:styleId="PageNumber">
    <w:name w:val="page number"/>
    <w:rsid w:val="00EA6902"/>
  </w:style>
  <w:style w:type="character" w:styleId="PlaceholderText">
    <w:name w:val="Placeholder Text"/>
    <w:uiPriority w:val="99"/>
    <w:semiHidden/>
    <w:rsid w:val="00EA6902"/>
    <w:rPr>
      <w:color w:val="808080"/>
    </w:rPr>
  </w:style>
  <w:style w:type="paragraph" w:customStyle="1" w:styleId="MDPI71FootNotes">
    <w:name w:val="MDPI_7.1_FootNotes"/>
    <w:qFormat/>
    <w:rsid w:val="00211F69"/>
    <w:pPr>
      <w:numPr>
        <w:numId w:val="24"/>
      </w:numPr>
      <w:adjustRightInd w:val="0"/>
      <w:snapToGrid w:val="0"/>
      <w:spacing w:line="228" w:lineRule="auto"/>
    </w:pPr>
    <w:rPr>
      <w:rFonts w:ascii="Palatino Linotype" w:eastAsiaTheme="minorEastAsia" w:hAnsi="Palatino Linotype"/>
      <w:noProof/>
      <w:color w:val="000000"/>
      <w:sz w:val="18"/>
    </w:rPr>
  </w:style>
  <w:style w:type="character" w:customStyle="1" w:styleId="Heading1Char">
    <w:name w:val="Heading 1 Char"/>
    <w:basedOn w:val="DefaultParagraphFont"/>
    <w:link w:val="Heading1"/>
    <w:uiPriority w:val="9"/>
    <w:rsid w:val="002F3962"/>
    <w:rPr>
      <w:rFonts w:eastAsiaTheme="majorEastAsia" w:cstheme="majorBidi"/>
      <w:b/>
      <w:bCs/>
      <w:sz w:val="32"/>
      <w:szCs w:val="28"/>
      <w:lang w:eastAsia="en-US"/>
    </w:rPr>
  </w:style>
  <w:style w:type="character" w:customStyle="1" w:styleId="Heading2Char">
    <w:name w:val="Heading 2 Char"/>
    <w:basedOn w:val="DefaultParagraphFont"/>
    <w:link w:val="Heading2"/>
    <w:uiPriority w:val="9"/>
    <w:rsid w:val="002F3962"/>
    <w:rPr>
      <w:rFonts w:eastAsiaTheme="majorEastAsia" w:cstheme="majorBidi"/>
      <w:b/>
      <w:sz w:val="24"/>
      <w:szCs w:val="26"/>
      <w:lang w:eastAsia="en-US"/>
    </w:rPr>
  </w:style>
  <w:style w:type="character" w:styleId="FootnoteReference">
    <w:name w:val="footnote reference"/>
    <w:basedOn w:val="DefaultParagraphFont"/>
    <w:uiPriority w:val="99"/>
    <w:semiHidden/>
    <w:unhideWhenUsed/>
    <w:rsid w:val="006372C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9655157">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tiff"/><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tif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iff"/><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tiff"/><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image" Target="media/image6.tiff"/></Relationships>
</file>

<file path=word/_rels/header3.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Desktop\ijm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79998A4D-625B-41B6-90C2-B2D54C62C1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ijms-template.dot</Template>
  <TotalTime>1941</TotalTime>
  <Pages>9</Pages>
  <Words>974</Words>
  <Characters>5554</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6515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creator>Eleftheria K</dc:creator>
  <cp:lastModifiedBy>Eleftheria K</cp:lastModifiedBy>
  <cp:revision>13</cp:revision>
  <cp:lastPrinted>2024-10-26T20:16:00Z</cp:lastPrinted>
  <dcterms:created xsi:type="dcterms:W3CDTF">2024-10-25T07:09:00Z</dcterms:created>
  <dcterms:modified xsi:type="dcterms:W3CDTF">2024-10-26T20:18:00Z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http://www.zotero.org/styles/plos-biology</vt:lpwstr>
  </property>
  <property fmtid="{D5CDD505-2E9C-101B-9397-08002B2CF9AE}" pid="4" name="Mendeley Unique User Id_1">
    <vt:lpwstr>d8ed5696-5449-3048-8a56-3b864d47bcef</vt:lpwstr>
  </property>
  <property fmtid="{D5CDD505-2E9C-101B-9397-08002B2CF9AE}" pid="5" name="Mendeley Recent Style Id 0_1">
    <vt:lpwstr>http://www.zotero.org/styles/harvard1</vt:lpwstr>
  </property>
  <property fmtid="{D5CDD505-2E9C-101B-9397-08002B2CF9AE}" pid="6" name="Mendeley Recent Style Name 0_1">
    <vt:lpwstr>Harvard reference format 1 (deprecated)</vt:lpwstr>
  </property>
  <property fmtid="{D5CDD505-2E9C-101B-9397-08002B2CF9AE}" pid="7" name="Mendeley Recent Style Id 1_1">
    <vt:lpwstr>http://www.zotero.org/styles/ieee</vt:lpwstr>
  </property>
  <property fmtid="{D5CDD505-2E9C-101B-9397-08002B2CF9AE}" pid="8" name="Mendeley Recent Style Name 1_1">
    <vt:lpwstr>IEEE</vt:lpwstr>
  </property>
  <property fmtid="{D5CDD505-2E9C-101B-9397-08002B2CF9AE}" pid="9" name="Mendeley Recent Style Id 2_1">
    <vt:lpwstr>http://www.zotero.org/styles/modern-humanities-research-association</vt:lpwstr>
  </property>
  <property fmtid="{D5CDD505-2E9C-101B-9397-08002B2CF9AE}" pid="10" name="Mendeley Recent Style Name 2_1">
    <vt:lpwstr>Modern Humanities Research Association 3rd edition (note with bibliography)</vt:lpwstr>
  </property>
  <property fmtid="{D5CDD505-2E9C-101B-9397-08002B2CF9AE}" pid="11" name="Mendeley Recent Style Id 3_1">
    <vt:lpwstr>http://www.zotero.org/styles/modern-language-association</vt:lpwstr>
  </property>
  <property fmtid="{D5CDD505-2E9C-101B-9397-08002B2CF9AE}" pid="12" name="Mendeley Recent Style Name 3_1">
    <vt:lpwstr>Modern Language Association 8th edition</vt:lpwstr>
  </property>
  <property fmtid="{D5CDD505-2E9C-101B-9397-08002B2CF9AE}" pid="13" name="Mendeley Recent Style Id 4_1">
    <vt:lpwstr>http://www.zotero.org/styles/national-library-of-medicine</vt:lpwstr>
  </property>
  <property fmtid="{D5CDD505-2E9C-101B-9397-08002B2CF9AE}" pid="14" name="Mendeley Recent Style Name 4_1">
    <vt:lpwstr>National Library of Medicine</vt:lpwstr>
  </property>
  <property fmtid="{D5CDD505-2E9C-101B-9397-08002B2CF9AE}" pid="15" name="Mendeley Recent Style Id 5_1">
    <vt:lpwstr>http://www.zotero.org/styles/nature</vt:lpwstr>
  </property>
  <property fmtid="{D5CDD505-2E9C-101B-9397-08002B2CF9AE}" pid="16" name="Mendeley Recent Style Name 5_1">
    <vt:lpwstr>Nature</vt:lpwstr>
  </property>
  <property fmtid="{D5CDD505-2E9C-101B-9397-08002B2CF9AE}" pid="17" name="Mendeley Recent Style Id 6_1">
    <vt:lpwstr>http://www.zotero.org/styles/nucleic-acids-research</vt:lpwstr>
  </property>
  <property fmtid="{D5CDD505-2E9C-101B-9397-08002B2CF9AE}" pid="18" name="Mendeley Recent Style Name 6_1">
    <vt:lpwstr>Nucleic Acids Research</vt:lpwstr>
  </property>
  <property fmtid="{D5CDD505-2E9C-101B-9397-08002B2CF9AE}" pid="19" name="Mendeley Recent Style Id 7_1">
    <vt:lpwstr>http://www.zotero.org/styles/plos-biology</vt:lpwstr>
  </property>
  <property fmtid="{D5CDD505-2E9C-101B-9397-08002B2CF9AE}" pid="20" name="Mendeley Recent Style Name 7_1">
    <vt:lpwstr>PLOS Biology</vt:lpwstr>
  </property>
  <property fmtid="{D5CDD505-2E9C-101B-9397-08002B2CF9AE}" pid="21" name="Mendeley Recent Style Id 8_1">
    <vt:lpwstr>http://www.zotero.org/styles/stem-cell-reports</vt:lpwstr>
  </property>
  <property fmtid="{D5CDD505-2E9C-101B-9397-08002B2CF9AE}" pid="22" name="Mendeley Recent Style Name 8_1">
    <vt:lpwstr>Stem Cell Reports</vt:lpwstr>
  </property>
  <property fmtid="{D5CDD505-2E9C-101B-9397-08002B2CF9AE}" pid="23" name="Mendeley Recent Style Id 9_1">
    <vt:lpwstr>http://www.zotero.org/styles/vancouver</vt:lpwstr>
  </property>
  <property fmtid="{D5CDD505-2E9C-101B-9397-08002B2CF9AE}" pid="24" name="Mendeley Recent Style Name 9_1">
    <vt:lpwstr>Vancouver</vt:lpwstr>
  </property>
</Properties>
</file>