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C84" w:rsidRPr="00997C84" w:rsidRDefault="00997C84" w:rsidP="00997C84">
      <w:r w:rsidRPr="00997C84"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ttangolo 2" descr="C:\Users\Marina\AppData\Local\Temp\{57979F0C-C9DE-4669-8EF9-B322B579D0A8}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35CBD1" id="Rettangolo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czc9gIAAA4GAAAOAAAAZHJzL2Uyb0RvYy54bWysVE1P3DAQvVfqf7B8D/kg+5GIbLWbbKpK&#10;0KICt714E2djNbFd2xAo4r937OzCApeqbQ6WPeO8mTfzPGef7vsO3VGlmeAZDk8CjCivRM34LsM3&#10;16U3x0gbwmvSCU4z/EA1/rT4+OFskCmNRCu6mioEIFyng8xwa4xMfV9XLe2JPhGScnA2QvXEwFHt&#10;/FqRAdD7zo+CYOoPQtVSiYpqDdZidOKFw28aWplvTaOpQV2GITfjVuXWrV39xRlJd4rIllX7NMhf&#10;ZNETxiHoM1RBDEG3ir2D6lmlhBaNOalE74umYRV1HIBNGLxhc9USSR0XKI6Wz2XS/w+2+np3qRCr&#10;MxxhxEkPLfpODTRsJzqBwFZTXUG98nRzo6HNmwuiGCebpZSW4+ZcVKTbXNNebh4ns2SWlEHu5Umx&#10;9uLpNPHm6zLxVqdRtAJnESznTyeml7bqg9QpBL+Sl8rWTUtA+qERF3kLwelSS+gdKAqyOpiUEkNL&#10;SQ30Qwvhv8KwBw1oaDtciBp4kFsjXE/uG9XbGFBtdO9a//DcenpvUAXG0yCeByCQClz7vY1A0sPP&#10;UmnzmYoe2U2GFWTnwMnduTbj1cMVG4uLknUd2Ena8VcGwBwtEBp+tT6bhBPLYxIk6/l6HntxNIUS&#10;BkXhLcs89qZlOJsUp0WeF+GTjRvGacvqmnIb5iDcMP4zYeyf0Ci5Z+lq0bHawtmUtNpt806hOwIP&#10;p3SfKzl4Xq75r9Nw9QIubyiFURysosQrp/OZF5fxxEtmwdwLwmSVTIM4iYvyNaVzxum/U0JDhpNJ&#10;NHFdOkr6DbfAfe+5kbRnBkZTx/oMgzTgs5dIahW45rXbG8K6cX9UCpv+Symg3YdGO71aiY7q34r6&#10;AeSqBMgJlAdDFDatUL8wGmAgZVj/vCWKYtR94SD5JIxjO8HcIZ7MIjioY8/22EN4BVAZNhiN29yM&#10;U+9WKrZrIVLoCsPFEp5Jw5yE7RMas9o/Lhg6jsl+QNoXf3x2t17G+OI3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phzNz2AgAA&#10;Dg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997C84" w:rsidRDefault="00997C84" w:rsidP="00997C84">
      <w:pPr>
        <w:pStyle w:val="NormaleWeb"/>
      </w:pPr>
      <w:r>
        <w:rPr>
          <w:noProof/>
        </w:rPr>
        <w:drawing>
          <wp:inline distT="0" distB="0" distL="0" distR="0">
            <wp:extent cx="5833524" cy="4138311"/>
            <wp:effectExtent l="0" t="0" r="0" b="0"/>
            <wp:docPr id="3" name="Immagine 3" descr="C:\Users\Marina\AppData\Local\Temp\{39BFD0FB-99D5-4556-8F76-781E70388CE5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ina\AppData\Local\Temp\{39BFD0FB-99D5-4556-8F76-781E70388CE5}.t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746" cy="414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96D" w:rsidRPr="006B396D" w:rsidRDefault="005916E2" w:rsidP="006B396D">
      <w:pPr>
        <w:spacing w:after="0" w:line="240" w:lineRule="auto"/>
        <w:jc w:val="both"/>
        <w:rPr>
          <w:rFonts w:ascii="Palatino Linotype" w:hAnsi="Palatino Linotype"/>
          <w:sz w:val="18"/>
          <w:szCs w:val="18"/>
          <w:lang w:val="en-US" w:eastAsia="it-IT"/>
        </w:rPr>
      </w:pPr>
      <w:r>
        <w:rPr>
          <w:rFonts w:ascii="Palatino Linotype" w:hAnsi="Palatino Linotype" w:cs="Times New Roman"/>
          <w:sz w:val="18"/>
          <w:szCs w:val="18"/>
          <w:lang w:val="en-US"/>
        </w:rPr>
        <w:t>Figure S1</w:t>
      </w:r>
      <w:bookmarkStart w:id="0" w:name="_GoBack"/>
      <w:bookmarkEnd w:id="0"/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In vitro</w:t>
      </w:r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 antibacterial activity of </w:t>
      </w:r>
      <w:proofErr w:type="spellStart"/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Paederia</w:t>
      </w:r>
      <w:proofErr w:type="spellEnd"/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proofErr w:type="spellStart"/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grandidieri</w:t>
      </w:r>
      <w:proofErr w:type="spellEnd"/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 leaf extracts evaluated by the agar well diffusion method. For all tested microorganisms, no inhibition zones were observed around disks filled up with extracts, while the selected positive controls demonstrated </w:t>
      </w:r>
      <w:r w:rsidR="00F23C8F">
        <w:rPr>
          <w:rFonts w:ascii="Palatino Linotype" w:hAnsi="Palatino Linotype" w:cs="Times New Roman"/>
          <w:sz w:val="18"/>
          <w:szCs w:val="18"/>
          <w:lang w:val="en-US"/>
        </w:rPr>
        <w:t xml:space="preserve">an </w:t>
      </w:r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antibacterial effect against the isolates, with mean diameter inhibition zones (MDIZ) values of 21.50 ± 0.71 for amoxicillin against </w:t>
      </w:r>
      <w:proofErr w:type="spellStart"/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R</w:t>
      </w:r>
      <w:r w:rsidR="00F23C8F">
        <w:rPr>
          <w:rFonts w:ascii="Palatino Linotype" w:hAnsi="Palatino Linotype" w:cs="Times New Roman"/>
          <w:i/>
          <w:sz w:val="18"/>
          <w:szCs w:val="18"/>
          <w:lang w:val="en-US"/>
        </w:rPr>
        <w:t>othia</w:t>
      </w:r>
      <w:proofErr w:type="spellEnd"/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 </w:t>
      </w:r>
      <w:proofErr w:type="spellStart"/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dentocariosa</w:t>
      </w:r>
      <w:proofErr w:type="spellEnd"/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, 22.50 ± 0.71 for amoxicillin against </w:t>
      </w:r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S</w:t>
      </w:r>
      <w:r w:rsidR="00F23C8F">
        <w:rPr>
          <w:rFonts w:ascii="Palatino Linotype" w:hAnsi="Palatino Linotype" w:cs="Times New Roman"/>
          <w:i/>
          <w:sz w:val="18"/>
          <w:szCs w:val="18"/>
          <w:lang w:val="en-US"/>
        </w:rPr>
        <w:t>treptococcus</w:t>
      </w:r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 </w:t>
      </w:r>
      <w:proofErr w:type="spellStart"/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mutans</w:t>
      </w:r>
      <w:proofErr w:type="spellEnd"/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 ATCC 25175, 15.00 ± 0.00 for gentamicin against </w:t>
      </w:r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E</w:t>
      </w:r>
      <w:r w:rsidR="00F23C8F">
        <w:rPr>
          <w:rFonts w:ascii="Palatino Linotype" w:hAnsi="Palatino Linotype" w:cs="Times New Roman"/>
          <w:i/>
          <w:sz w:val="18"/>
          <w:szCs w:val="18"/>
          <w:lang w:val="en-US"/>
        </w:rPr>
        <w:t>scherichia</w:t>
      </w:r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 coli</w:t>
      </w:r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 ATCC 25922 and 12.50 ± 0.71 for vancomycin against </w:t>
      </w:r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>S</w:t>
      </w:r>
      <w:r w:rsidR="00F23C8F">
        <w:rPr>
          <w:rFonts w:ascii="Palatino Linotype" w:hAnsi="Palatino Linotype" w:cs="Times New Roman"/>
          <w:i/>
          <w:sz w:val="18"/>
          <w:szCs w:val="18"/>
          <w:lang w:val="en-US"/>
        </w:rPr>
        <w:t>taphylococcus</w:t>
      </w:r>
      <w:r w:rsidR="006B396D" w:rsidRPr="006B396D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 aureus</w:t>
      </w:r>
      <w:r w:rsidR="006B396D" w:rsidRPr="006B396D">
        <w:rPr>
          <w:rFonts w:ascii="Palatino Linotype" w:hAnsi="Palatino Linotype" w:cs="Times New Roman"/>
          <w:sz w:val="18"/>
          <w:szCs w:val="18"/>
          <w:lang w:val="en-US"/>
        </w:rPr>
        <w:t xml:space="preserve"> ATCC 25923; no effects were observed for the negative controls.</w:t>
      </w:r>
    </w:p>
    <w:p w:rsidR="00A83FDB" w:rsidRPr="006B396D" w:rsidRDefault="00A83FDB">
      <w:pPr>
        <w:rPr>
          <w:rFonts w:ascii="Palatino Linotype" w:hAnsi="Palatino Linotype"/>
          <w:sz w:val="18"/>
          <w:szCs w:val="18"/>
          <w:lang w:val="en-US"/>
        </w:rPr>
      </w:pPr>
    </w:p>
    <w:sectPr w:rsidR="00A83FDB" w:rsidRPr="006B39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84"/>
    <w:rsid w:val="005916E2"/>
    <w:rsid w:val="006B396D"/>
    <w:rsid w:val="00997C84"/>
    <w:rsid w:val="00A83FDB"/>
    <w:rsid w:val="00F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B2818"/>
  <w15:chartTrackingRefBased/>
  <w15:docId w15:val="{6BB06830-7EB9-4802-87C7-4776C3DB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97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599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4</cp:revision>
  <dcterms:created xsi:type="dcterms:W3CDTF">2024-10-10T09:58:00Z</dcterms:created>
  <dcterms:modified xsi:type="dcterms:W3CDTF">2024-10-26T17:12:00Z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4d75ccb8-eb4a-4863-840c-247883ab78e1</vt:lpwstr>
  </property>
</Properties>
</file>